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CF0B" w14:textId="77777777" w:rsidR="003B1A88" w:rsidRDefault="003B1A88">
      <w:pPr>
        <w:adjustRightInd w:val="0"/>
        <w:snapToGrid w:val="0"/>
        <w:spacing w:line="300" w:lineRule="auto"/>
        <w:jc w:val="center"/>
        <w:rPr>
          <w:rFonts w:ascii="宋体" w:eastAsia="宋体" w:hAnsi="Calibri"/>
          <w:b/>
          <w:bCs/>
          <w:sz w:val="44"/>
          <w:szCs w:val="44"/>
        </w:rPr>
      </w:pPr>
      <w:bookmarkStart w:id="0" w:name="_Toc187427194"/>
    </w:p>
    <w:p w14:paraId="29F681AF" w14:textId="77777777" w:rsidR="003B1A88" w:rsidRDefault="003B1A88">
      <w:pPr>
        <w:adjustRightInd w:val="0"/>
        <w:snapToGrid w:val="0"/>
        <w:spacing w:line="300" w:lineRule="auto"/>
        <w:jc w:val="center"/>
        <w:rPr>
          <w:rFonts w:ascii="宋体" w:eastAsia="宋体" w:hAnsi="Calibri"/>
          <w:b/>
          <w:bCs/>
          <w:sz w:val="44"/>
          <w:szCs w:val="44"/>
        </w:rPr>
      </w:pPr>
    </w:p>
    <w:p w14:paraId="70D9E240" w14:textId="77777777" w:rsidR="003B1A88" w:rsidRDefault="003B1A88">
      <w:pPr>
        <w:adjustRightInd w:val="0"/>
        <w:snapToGrid w:val="0"/>
        <w:spacing w:line="300" w:lineRule="auto"/>
        <w:jc w:val="center"/>
        <w:rPr>
          <w:rFonts w:ascii="宋体" w:eastAsia="宋体" w:hAnsi="Calibri"/>
          <w:b/>
          <w:bCs/>
          <w:sz w:val="44"/>
          <w:szCs w:val="44"/>
        </w:rPr>
      </w:pPr>
    </w:p>
    <w:p w14:paraId="71C99C9F" w14:textId="77777777" w:rsidR="003B1A88" w:rsidRDefault="003B1A88">
      <w:pPr>
        <w:adjustRightInd w:val="0"/>
        <w:snapToGrid w:val="0"/>
        <w:spacing w:line="300" w:lineRule="auto"/>
        <w:jc w:val="center"/>
        <w:rPr>
          <w:rFonts w:ascii="宋体" w:eastAsia="宋体" w:hAnsi="Calibri"/>
          <w:b/>
          <w:bCs/>
          <w:sz w:val="44"/>
          <w:szCs w:val="44"/>
        </w:rPr>
      </w:pPr>
    </w:p>
    <w:p w14:paraId="5E8A64D7" w14:textId="77777777" w:rsidR="003B1A88" w:rsidRDefault="003B1A88">
      <w:pPr>
        <w:adjustRightInd w:val="0"/>
        <w:snapToGrid w:val="0"/>
        <w:spacing w:line="300" w:lineRule="auto"/>
        <w:jc w:val="center"/>
        <w:rPr>
          <w:rFonts w:ascii="宋体" w:eastAsia="宋体" w:hAnsi="Calibri"/>
          <w:b/>
          <w:bCs/>
          <w:sz w:val="44"/>
          <w:szCs w:val="44"/>
        </w:rPr>
      </w:pPr>
    </w:p>
    <w:p w14:paraId="7E4B674A" w14:textId="77777777" w:rsidR="003B1A88" w:rsidRDefault="003B1A88">
      <w:pPr>
        <w:adjustRightInd w:val="0"/>
        <w:snapToGrid w:val="0"/>
        <w:spacing w:line="300" w:lineRule="auto"/>
        <w:jc w:val="center"/>
        <w:rPr>
          <w:rFonts w:ascii="宋体" w:eastAsia="宋体" w:hAnsi="Calibri"/>
          <w:b/>
          <w:bCs/>
          <w:sz w:val="44"/>
          <w:szCs w:val="44"/>
        </w:rPr>
      </w:pPr>
    </w:p>
    <w:p w14:paraId="2DC68442" w14:textId="77777777" w:rsidR="003B1A88" w:rsidRDefault="00E246B9">
      <w:pPr>
        <w:adjustRightInd w:val="0"/>
        <w:snapToGrid w:val="0"/>
        <w:spacing w:line="300" w:lineRule="auto"/>
        <w:jc w:val="center"/>
        <w:rPr>
          <w:rFonts w:ascii="Times New Roman" w:eastAsia="宋体" w:hAnsi="Times New Roman"/>
          <w:b/>
          <w:color w:val="000000"/>
          <w:kern w:val="0"/>
          <w:sz w:val="44"/>
          <w:szCs w:val="44"/>
        </w:rPr>
      </w:pPr>
      <w:r>
        <w:rPr>
          <w:rFonts w:ascii="Times New Roman" w:eastAsia="宋体" w:hAnsi="宋体" w:hint="eastAsia"/>
          <w:b/>
          <w:color w:val="000000"/>
          <w:kern w:val="0"/>
          <w:sz w:val="44"/>
          <w:szCs w:val="44"/>
        </w:rPr>
        <w:t>三</w:t>
      </w:r>
      <w:proofErr w:type="gramStart"/>
      <w:r>
        <w:rPr>
          <w:rFonts w:ascii="Times New Roman" w:eastAsia="宋体" w:hAnsi="宋体" w:hint="eastAsia"/>
          <w:b/>
          <w:color w:val="000000"/>
          <w:kern w:val="0"/>
          <w:sz w:val="44"/>
          <w:szCs w:val="44"/>
        </w:rPr>
        <w:t>湘印象</w:t>
      </w:r>
      <w:proofErr w:type="gramEnd"/>
      <w:r>
        <w:rPr>
          <w:rFonts w:ascii="Times New Roman" w:eastAsia="宋体" w:hAnsi="宋体" w:hint="eastAsia"/>
          <w:b/>
          <w:color w:val="000000"/>
          <w:kern w:val="0"/>
          <w:sz w:val="44"/>
          <w:szCs w:val="44"/>
        </w:rPr>
        <w:t>股份有限公司</w:t>
      </w:r>
    </w:p>
    <w:p w14:paraId="33CCB3EA" w14:textId="77777777" w:rsidR="003B1A88" w:rsidRDefault="003B1A88">
      <w:pPr>
        <w:adjustRightInd w:val="0"/>
        <w:snapToGrid w:val="0"/>
        <w:spacing w:line="300" w:lineRule="auto"/>
        <w:jc w:val="center"/>
        <w:rPr>
          <w:rFonts w:ascii="宋体" w:eastAsia="宋体" w:hAnsi="Calibri"/>
          <w:b/>
          <w:bCs/>
          <w:sz w:val="44"/>
          <w:szCs w:val="44"/>
        </w:rPr>
      </w:pPr>
      <w:bookmarkStart w:id="1" w:name="_DV_M1"/>
      <w:bookmarkEnd w:id="1"/>
    </w:p>
    <w:p w14:paraId="4F1EECFA" w14:textId="77777777" w:rsidR="003B1A88" w:rsidRDefault="003B1A88">
      <w:pPr>
        <w:adjustRightInd w:val="0"/>
        <w:snapToGrid w:val="0"/>
        <w:spacing w:line="300" w:lineRule="auto"/>
        <w:jc w:val="center"/>
        <w:rPr>
          <w:rFonts w:ascii="宋体" w:eastAsia="宋体" w:hAnsi="Calibri"/>
          <w:b/>
          <w:bCs/>
          <w:sz w:val="44"/>
          <w:szCs w:val="44"/>
        </w:rPr>
      </w:pPr>
    </w:p>
    <w:p w14:paraId="70760BE8" w14:textId="77777777" w:rsidR="003B1A88" w:rsidRDefault="003B1A88">
      <w:pPr>
        <w:adjustRightInd w:val="0"/>
        <w:snapToGrid w:val="0"/>
        <w:spacing w:line="300" w:lineRule="auto"/>
        <w:jc w:val="center"/>
        <w:rPr>
          <w:rFonts w:ascii="宋体" w:eastAsia="宋体" w:hAnsi="Calibri"/>
          <w:b/>
          <w:bCs/>
          <w:sz w:val="44"/>
          <w:szCs w:val="44"/>
        </w:rPr>
      </w:pPr>
    </w:p>
    <w:p w14:paraId="7BB3C25B" w14:textId="77777777" w:rsidR="003B1A88" w:rsidRDefault="00E246B9">
      <w:pPr>
        <w:adjustRightInd w:val="0"/>
        <w:snapToGrid w:val="0"/>
        <w:spacing w:line="300" w:lineRule="auto"/>
        <w:jc w:val="center"/>
        <w:rPr>
          <w:rFonts w:ascii="宋体" w:eastAsia="宋体" w:hAnsi="Calibri"/>
          <w:b/>
          <w:bCs/>
          <w:sz w:val="44"/>
          <w:szCs w:val="44"/>
        </w:rPr>
      </w:pPr>
      <w:bookmarkStart w:id="2" w:name="_DV_M3"/>
      <w:bookmarkEnd w:id="2"/>
      <w:r>
        <w:rPr>
          <w:rFonts w:ascii="Times New Roman" w:eastAsia="宋体" w:hAnsi="宋体" w:hint="eastAsia"/>
          <w:b/>
          <w:color w:val="000000"/>
          <w:kern w:val="0"/>
          <w:sz w:val="44"/>
          <w:szCs w:val="44"/>
        </w:rPr>
        <w:t>董事会战略与投资委员会工作细则</w:t>
      </w:r>
    </w:p>
    <w:p w14:paraId="3A341FA9" w14:textId="77777777" w:rsidR="003B1A88" w:rsidRDefault="003B1A88">
      <w:pPr>
        <w:adjustRightInd w:val="0"/>
        <w:snapToGrid w:val="0"/>
        <w:spacing w:line="300" w:lineRule="auto"/>
        <w:jc w:val="center"/>
        <w:rPr>
          <w:rFonts w:ascii="宋体" w:eastAsia="宋体" w:hAnsi="Calibri"/>
          <w:b/>
          <w:bCs/>
          <w:sz w:val="44"/>
          <w:szCs w:val="44"/>
        </w:rPr>
      </w:pPr>
    </w:p>
    <w:p w14:paraId="7CAF60F2" w14:textId="77777777" w:rsidR="003B1A88" w:rsidRDefault="003B1A88">
      <w:pPr>
        <w:adjustRightInd w:val="0"/>
        <w:snapToGrid w:val="0"/>
        <w:spacing w:line="300" w:lineRule="auto"/>
        <w:jc w:val="center"/>
        <w:rPr>
          <w:rFonts w:ascii="宋体" w:eastAsia="宋体" w:hAnsi="Calibri"/>
          <w:b/>
          <w:bCs/>
          <w:sz w:val="44"/>
          <w:szCs w:val="44"/>
        </w:rPr>
      </w:pPr>
    </w:p>
    <w:p w14:paraId="6F2719D9" w14:textId="77777777" w:rsidR="003B1A88" w:rsidRDefault="003B1A88">
      <w:pPr>
        <w:adjustRightInd w:val="0"/>
        <w:snapToGrid w:val="0"/>
        <w:spacing w:line="300" w:lineRule="auto"/>
        <w:jc w:val="center"/>
        <w:rPr>
          <w:rFonts w:ascii="宋体" w:eastAsia="宋体" w:hAnsi="Calibri"/>
          <w:b/>
          <w:bCs/>
          <w:sz w:val="44"/>
          <w:szCs w:val="44"/>
        </w:rPr>
      </w:pPr>
    </w:p>
    <w:p w14:paraId="4A179670" w14:textId="77777777" w:rsidR="003B1A88" w:rsidRDefault="003B1A88">
      <w:pPr>
        <w:adjustRightInd w:val="0"/>
        <w:snapToGrid w:val="0"/>
        <w:spacing w:line="300" w:lineRule="auto"/>
        <w:rPr>
          <w:rFonts w:ascii="宋体" w:eastAsia="宋体" w:hAnsi="Calibri"/>
          <w:b/>
          <w:bCs/>
          <w:sz w:val="44"/>
          <w:szCs w:val="44"/>
        </w:rPr>
      </w:pPr>
    </w:p>
    <w:p w14:paraId="05F3233A" w14:textId="77777777" w:rsidR="003B1A88" w:rsidRDefault="003B1A88">
      <w:pPr>
        <w:adjustRightInd w:val="0"/>
        <w:snapToGrid w:val="0"/>
        <w:spacing w:line="300" w:lineRule="auto"/>
        <w:rPr>
          <w:rFonts w:ascii="宋体" w:eastAsia="宋体" w:hAnsi="Calibri"/>
          <w:b/>
          <w:bCs/>
          <w:sz w:val="44"/>
          <w:szCs w:val="44"/>
        </w:rPr>
      </w:pPr>
    </w:p>
    <w:p w14:paraId="5B9B280F" w14:textId="77777777" w:rsidR="003B1A88" w:rsidRDefault="003B1A88">
      <w:pPr>
        <w:adjustRightInd w:val="0"/>
        <w:snapToGrid w:val="0"/>
        <w:spacing w:line="300" w:lineRule="auto"/>
        <w:rPr>
          <w:rFonts w:ascii="宋体" w:eastAsia="宋体" w:hAnsi="Calibri"/>
          <w:b/>
          <w:bCs/>
          <w:sz w:val="44"/>
          <w:szCs w:val="44"/>
        </w:rPr>
      </w:pPr>
    </w:p>
    <w:p w14:paraId="2FE86EA1" w14:textId="0FAD608E" w:rsidR="003B1A88" w:rsidRDefault="00E246B9">
      <w:pPr>
        <w:adjustRightInd w:val="0"/>
        <w:snapToGrid w:val="0"/>
        <w:spacing w:line="300" w:lineRule="auto"/>
        <w:jc w:val="center"/>
        <w:rPr>
          <w:rFonts w:ascii="宋体" w:eastAsia="宋体" w:hAnsi="宋体"/>
          <w:b/>
          <w:bCs/>
          <w:sz w:val="36"/>
          <w:szCs w:val="36"/>
        </w:rPr>
        <w:sectPr w:rsidR="003B1A88">
          <w:headerReference w:type="default" r:id="rId9"/>
          <w:footerReference w:type="even" r:id="rId10"/>
          <w:footerReference w:type="default" r:id="rId11"/>
          <w:type w:val="continuous"/>
          <w:pgSz w:w="11906" w:h="16838"/>
          <w:pgMar w:top="1440" w:right="1800" w:bottom="1440" w:left="1800" w:header="851" w:footer="992" w:gutter="0"/>
          <w:pgNumType w:fmt="numberInDash"/>
          <w:cols w:space="425"/>
          <w:docGrid w:type="lines" w:linePitch="312"/>
        </w:sectPr>
      </w:pPr>
      <w:r>
        <w:rPr>
          <w:rFonts w:ascii="宋体" w:eastAsia="宋体" w:hAnsi="宋体" w:hint="eastAsia"/>
          <w:b/>
          <w:bCs/>
          <w:sz w:val="36"/>
          <w:szCs w:val="36"/>
        </w:rPr>
        <w:t>二○二○年</w:t>
      </w:r>
      <w:r w:rsidR="002C2539">
        <w:rPr>
          <w:rFonts w:ascii="宋体" w:eastAsia="宋体" w:hAnsi="宋体" w:hint="eastAsia"/>
          <w:b/>
          <w:bCs/>
          <w:sz w:val="36"/>
          <w:szCs w:val="36"/>
        </w:rPr>
        <w:t>十二</w:t>
      </w:r>
      <w:r>
        <w:rPr>
          <w:rFonts w:ascii="宋体" w:eastAsia="宋体" w:hAnsi="宋体" w:hint="eastAsia"/>
          <w:b/>
          <w:bCs/>
          <w:sz w:val="36"/>
          <w:szCs w:val="36"/>
        </w:rPr>
        <w:t>月</w:t>
      </w:r>
    </w:p>
    <w:p w14:paraId="02E8D488" w14:textId="77777777" w:rsidR="003B1A88" w:rsidRPr="002C2539" w:rsidRDefault="00E246B9" w:rsidP="002C2539">
      <w:pPr>
        <w:pStyle w:val="TOC10"/>
        <w:jc w:val="center"/>
        <w:rPr>
          <w:b/>
          <w:color w:val="auto"/>
        </w:rPr>
      </w:pPr>
      <w:r w:rsidRPr="002C2539">
        <w:rPr>
          <w:rFonts w:hint="eastAsia"/>
          <w:b/>
          <w:color w:val="auto"/>
          <w:lang w:val="zh-CN"/>
        </w:rPr>
        <w:lastRenderedPageBreak/>
        <w:t>目</w:t>
      </w:r>
      <w:r>
        <w:rPr>
          <w:rFonts w:hint="eastAsia"/>
          <w:b/>
          <w:color w:val="auto"/>
          <w:lang w:val="zh-CN"/>
        </w:rPr>
        <w:t xml:space="preserve">   </w:t>
      </w:r>
      <w:r w:rsidRPr="002C2539">
        <w:rPr>
          <w:rFonts w:hint="eastAsia"/>
          <w:b/>
          <w:color w:val="auto"/>
          <w:lang w:val="zh-CN"/>
        </w:rPr>
        <w:t>录</w:t>
      </w:r>
    </w:p>
    <w:p w14:paraId="392E282B" w14:textId="201CE48E" w:rsidR="003B1A88" w:rsidRPr="002C2539" w:rsidRDefault="00E246B9">
      <w:pPr>
        <w:pStyle w:val="TOC1"/>
        <w:tabs>
          <w:tab w:val="right" w:leader="dot" w:pos="8296"/>
        </w:tabs>
        <w:rPr>
          <w:rFonts w:ascii="Times New Roman" w:eastAsia="宋体" w:hAnsi="Times New Roman"/>
          <w:sz w:val="21"/>
          <w:szCs w:val="21"/>
        </w:rPr>
      </w:pPr>
      <w:r w:rsidRPr="002C2539">
        <w:rPr>
          <w:rFonts w:ascii="Times New Roman" w:eastAsia="宋体" w:hAnsi="Times New Roman"/>
          <w:sz w:val="21"/>
          <w:szCs w:val="21"/>
        </w:rPr>
        <w:fldChar w:fldCharType="begin"/>
      </w:r>
      <w:r w:rsidRPr="002C2539">
        <w:rPr>
          <w:rFonts w:ascii="Times New Roman" w:eastAsia="宋体" w:hAnsi="Times New Roman"/>
          <w:sz w:val="21"/>
          <w:szCs w:val="21"/>
        </w:rPr>
        <w:instrText xml:space="preserve"> TOC \o "1-3" \h \z \u </w:instrText>
      </w:r>
      <w:r w:rsidRPr="002C2539">
        <w:rPr>
          <w:rFonts w:ascii="Times New Roman" w:eastAsia="宋体" w:hAnsi="Times New Roman"/>
          <w:sz w:val="21"/>
          <w:szCs w:val="21"/>
        </w:rPr>
        <w:fldChar w:fldCharType="separate"/>
      </w:r>
      <w:hyperlink w:anchor="_Toc51281039" w:history="1">
        <w:r w:rsidRPr="002C2539">
          <w:rPr>
            <w:rStyle w:val="af0"/>
            <w:rFonts w:ascii="Times New Roman" w:eastAsia="宋体" w:hAnsi="Times New Roman" w:hint="eastAsia"/>
            <w:kern w:val="0"/>
            <w:sz w:val="21"/>
            <w:szCs w:val="21"/>
            <w:lang w:val="zh-CN"/>
          </w:rPr>
          <w:t>第一章</w:t>
        </w:r>
        <w:r w:rsidRPr="002C2539">
          <w:rPr>
            <w:rStyle w:val="af0"/>
            <w:rFonts w:ascii="Times New Roman" w:eastAsia="宋体" w:hAnsi="Times New Roman"/>
            <w:kern w:val="0"/>
            <w:sz w:val="21"/>
            <w:szCs w:val="21"/>
            <w:lang w:val="zh-CN"/>
          </w:rPr>
          <w:t xml:space="preserve"> </w:t>
        </w:r>
        <w:r w:rsidRPr="002C2539">
          <w:rPr>
            <w:rStyle w:val="af0"/>
            <w:rFonts w:ascii="Times New Roman" w:eastAsia="宋体" w:hAnsi="Times New Roman" w:hint="eastAsia"/>
            <w:kern w:val="0"/>
            <w:sz w:val="21"/>
            <w:szCs w:val="21"/>
            <w:lang w:val="zh-CN"/>
          </w:rPr>
          <w:t>总</w:t>
        </w:r>
        <w:r w:rsidRPr="002C2539">
          <w:rPr>
            <w:rStyle w:val="af0"/>
            <w:rFonts w:ascii="Times New Roman" w:eastAsia="宋体" w:hAnsi="Times New Roman"/>
            <w:kern w:val="0"/>
            <w:sz w:val="21"/>
            <w:szCs w:val="21"/>
            <w:lang w:val="zh-CN"/>
          </w:rPr>
          <w:t xml:space="preserve">  </w:t>
        </w:r>
        <w:r w:rsidRPr="002C2539">
          <w:rPr>
            <w:rStyle w:val="af0"/>
            <w:rFonts w:ascii="Times New Roman" w:eastAsia="宋体" w:hAnsi="Times New Roman" w:hint="eastAsia"/>
            <w:kern w:val="0"/>
            <w:sz w:val="21"/>
            <w:szCs w:val="21"/>
            <w:lang w:val="zh-CN"/>
          </w:rPr>
          <w:t>则</w:t>
        </w:r>
        <w:r w:rsidRPr="002C2539">
          <w:rPr>
            <w:rFonts w:ascii="Times New Roman" w:eastAsia="宋体" w:hAnsi="Times New Roman"/>
            <w:sz w:val="21"/>
            <w:szCs w:val="21"/>
          </w:rPr>
          <w:tab/>
        </w:r>
        <w:r w:rsidRPr="002C2539">
          <w:rPr>
            <w:rFonts w:ascii="Times New Roman" w:eastAsia="宋体" w:hAnsi="Times New Roman"/>
            <w:sz w:val="21"/>
            <w:szCs w:val="21"/>
          </w:rPr>
          <w:fldChar w:fldCharType="begin"/>
        </w:r>
        <w:r w:rsidRPr="002C2539">
          <w:rPr>
            <w:rFonts w:ascii="Times New Roman" w:eastAsia="宋体" w:hAnsi="Times New Roman"/>
            <w:sz w:val="21"/>
            <w:szCs w:val="21"/>
          </w:rPr>
          <w:instrText xml:space="preserve"> PAGEREF _Toc51281039 \h </w:instrText>
        </w:r>
        <w:r w:rsidRPr="002C2539">
          <w:rPr>
            <w:rFonts w:ascii="Times New Roman" w:eastAsia="宋体" w:hAnsi="Times New Roman"/>
            <w:sz w:val="21"/>
            <w:szCs w:val="21"/>
          </w:rPr>
        </w:r>
        <w:r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1</w:t>
        </w:r>
        <w:r w:rsidRPr="002C2539">
          <w:rPr>
            <w:rFonts w:ascii="Times New Roman" w:eastAsia="宋体" w:hAnsi="Times New Roman"/>
            <w:sz w:val="21"/>
            <w:szCs w:val="21"/>
          </w:rPr>
          <w:fldChar w:fldCharType="end"/>
        </w:r>
      </w:hyperlink>
    </w:p>
    <w:p w14:paraId="3AC7CD65" w14:textId="05D9BDAA" w:rsidR="003B1A88" w:rsidRPr="002C2539" w:rsidRDefault="00311F20">
      <w:pPr>
        <w:pStyle w:val="TOC1"/>
        <w:tabs>
          <w:tab w:val="right" w:leader="dot" w:pos="8296"/>
        </w:tabs>
        <w:rPr>
          <w:rFonts w:ascii="Times New Roman" w:eastAsia="宋体" w:hAnsi="Times New Roman"/>
          <w:sz w:val="21"/>
          <w:szCs w:val="21"/>
        </w:rPr>
      </w:pPr>
      <w:hyperlink w:anchor="_Toc51281040" w:history="1">
        <w:r w:rsidR="00E246B9" w:rsidRPr="002C2539">
          <w:rPr>
            <w:rStyle w:val="af0"/>
            <w:rFonts w:ascii="Times New Roman" w:eastAsia="宋体" w:hAnsi="Times New Roman" w:hint="eastAsia"/>
            <w:kern w:val="0"/>
            <w:sz w:val="21"/>
            <w:szCs w:val="21"/>
            <w:lang w:val="zh-CN"/>
          </w:rPr>
          <w:t>第二章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人员组成</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_Toc51281040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1</w:t>
        </w:r>
        <w:r w:rsidR="00E246B9" w:rsidRPr="002C2539">
          <w:rPr>
            <w:rFonts w:ascii="Times New Roman" w:eastAsia="宋体" w:hAnsi="Times New Roman"/>
            <w:sz w:val="21"/>
            <w:szCs w:val="21"/>
          </w:rPr>
          <w:fldChar w:fldCharType="end"/>
        </w:r>
      </w:hyperlink>
    </w:p>
    <w:p w14:paraId="1E1F6905" w14:textId="7EAA8742" w:rsidR="003B1A88" w:rsidRPr="002C2539" w:rsidRDefault="00311F20">
      <w:pPr>
        <w:pStyle w:val="TOC1"/>
        <w:tabs>
          <w:tab w:val="right" w:leader="dot" w:pos="8296"/>
        </w:tabs>
        <w:rPr>
          <w:rFonts w:ascii="Times New Roman" w:eastAsia="宋体" w:hAnsi="Times New Roman"/>
          <w:sz w:val="21"/>
          <w:szCs w:val="21"/>
        </w:rPr>
      </w:pPr>
      <w:hyperlink w:anchor="_Toc51281041" w:history="1">
        <w:r w:rsidR="00E246B9" w:rsidRPr="002C2539">
          <w:rPr>
            <w:rStyle w:val="af0"/>
            <w:rFonts w:ascii="Times New Roman" w:eastAsia="宋体" w:hAnsi="Times New Roman" w:hint="eastAsia"/>
            <w:kern w:val="0"/>
            <w:sz w:val="21"/>
            <w:szCs w:val="21"/>
            <w:lang w:val="zh-CN"/>
          </w:rPr>
          <w:t>第三章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职责权限</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_Toc51281041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2</w:t>
        </w:r>
        <w:r w:rsidR="00E246B9" w:rsidRPr="002C2539">
          <w:rPr>
            <w:rFonts w:ascii="Times New Roman" w:eastAsia="宋体" w:hAnsi="Times New Roman"/>
            <w:sz w:val="21"/>
            <w:szCs w:val="21"/>
          </w:rPr>
          <w:fldChar w:fldCharType="end"/>
        </w:r>
      </w:hyperlink>
    </w:p>
    <w:p w14:paraId="360CA9AD" w14:textId="69D45494" w:rsidR="003B1A88" w:rsidRPr="002C2539" w:rsidRDefault="00311F20">
      <w:pPr>
        <w:pStyle w:val="TOC1"/>
        <w:tabs>
          <w:tab w:val="right" w:leader="dot" w:pos="8296"/>
        </w:tabs>
        <w:rPr>
          <w:rFonts w:ascii="Times New Roman" w:eastAsia="宋体" w:hAnsi="Times New Roman"/>
          <w:sz w:val="21"/>
          <w:szCs w:val="21"/>
        </w:rPr>
      </w:pPr>
      <w:hyperlink w:anchor="_Toc51281042" w:history="1">
        <w:r w:rsidR="00E246B9" w:rsidRPr="002C2539">
          <w:rPr>
            <w:rStyle w:val="af0"/>
            <w:rFonts w:ascii="Times New Roman" w:eastAsia="宋体" w:hAnsi="Times New Roman" w:hint="eastAsia"/>
            <w:kern w:val="0"/>
            <w:sz w:val="21"/>
            <w:szCs w:val="21"/>
            <w:lang w:val="zh-CN"/>
          </w:rPr>
          <w:t>第四章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会议的召开与通知</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_Toc51281042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2</w:t>
        </w:r>
        <w:r w:rsidR="00E246B9" w:rsidRPr="002C2539">
          <w:rPr>
            <w:rFonts w:ascii="Times New Roman" w:eastAsia="宋体" w:hAnsi="Times New Roman"/>
            <w:sz w:val="21"/>
            <w:szCs w:val="21"/>
          </w:rPr>
          <w:fldChar w:fldCharType="end"/>
        </w:r>
      </w:hyperlink>
    </w:p>
    <w:p w14:paraId="1ED628EB" w14:textId="31FD2FD3" w:rsidR="003B1A88" w:rsidRPr="002C2539" w:rsidRDefault="00311F20">
      <w:pPr>
        <w:pStyle w:val="TOC1"/>
        <w:tabs>
          <w:tab w:val="right" w:leader="dot" w:pos="8296"/>
        </w:tabs>
        <w:rPr>
          <w:rFonts w:ascii="Times New Roman" w:eastAsia="宋体" w:hAnsi="Times New Roman"/>
          <w:sz w:val="21"/>
          <w:szCs w:val="21"/>
        </w:rPr>
      </w:pPr>
      <w:hyperlink w:anchor="_Toc51281043" w:history="1">
        <w:r w:rsidR="00E246B9" w:rsidRPr="002C2539">
          <w:rPr>
            <w:rStyle w:val="af0"/>
            <w:rFonts w:ascii="Times New Roman" w:eastAsia="宋体" w:hAnsi="Times New Roman" w:hint="eastAsia"/>
            <w:kern w:val="0"/>
            <w:sz w:val="21"/>
            <w:szCs w:val="21"/>
            <w:lang w:val="zh-CN"/>
          </w:rPr>
          <w:t>第五章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议事与表决程序</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_Toc51281043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3</w:t>
        </w:r>
        <w:r w:rsidR="00E246B9" w:rsidRPr="002C2539">
          <w:rPr>
            <w:rFonts w:ascii="Times New Roman" w:eastAsia="宋体" w:hAnsi="Times New Roman"/>
            <w:sz w:val="21"/>
            <w:szCs w:val="21"/>
          </w:rPr>
          <w:fldChar w:fldCharType="end"/>
        </w:r>
      </w:hyperlink>
    </w:p>
    <w:p w14:paraId="18EC7566" w14:textId="4D4CD835" w:rsidR="003B1A88" w:rsidRPr="002C2539" w:rsidRDefault="00311F20">
      <w:pPr>
        <w:pStyle w:val="TOC1"/>
        <w:tabs>
          <w:tab w:val="right" w:leader="dot" w:pos="8296"/>
        </w:tabs>
        <w:rPr>
          <w:rFonts w:ascii="Times New Roman" w:eastAsia="宋体" w:hAnsi="Times New Roman"/>
          <w:sz w:val="21"/>
          <w:szCs w:val="21"/>
        </w:rPr>
      </w:pPr>
      <w:hyperlink w:anchor="_Toc51281044" w:history="1">
        <w:r w:rsidR="00E246B9" w:rsidRPr="002C2539">
          <w:rPr>
            <w:rStyle w:val="af0"/>
            <w:rFonts w:ascii="Times New Roman" w:eastAsia="宋体" w:hAnsi="Times New Roman" w:hint="eastAsia"/>
            <w:kern w:val="0"/>
            <w:sz w:val="21"/>
            <w:szCs w:val="21"/>
            <w:lang w:val="zh-CN"/>
          </w:rPr>
          <w:t>第六章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会议决议和会议记录</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_Toc51281044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4</w:t>
        </w:r>
        <w:r w:rsidR="00E246B9" w:rsidRPr="002C2539">
          <w:rPr>
            <w:rFonts w:ascii="Times New Roman" w:eastAsia="宋体" w:hAnsi="Times New Roman"/>
            <w:sz w:val="21"/>
            <w:szCs w:val="21"/>
          </w:rPr>
          <w:fldChar w:fldCharType="end"/>
        </w:r>
      </w:hyperlink>
    </w:p>
    <w:p w14:paraId="42607C1B" w14:textId="1E98E9DB" w:rsidR="003B1A88" w:rsidRPr="002C2539" w:rsidRDefault="00311F20">
      <w:pPr>
        <w:pStyle w:val="TOC1"/>
        <w:tabs>
          <w:tab w:val="right" w:leader="dot" w:pos="8296"/>
        </w:tabs>
        <w:rPr>
          <w:rFonts w:ascii="Times New Roman" w:eastAsia="宋体" w:hAnsi="Times New Roman"/>
          <w:sz w:val="21"/>
          <w:szCs w:val="21"/>
        </w:rPr>
      </w:pPr>
      <w:hyperlink w:anchor="_Toc51281045" w:history="1">
        <w:r w:rsidR="00E246B9" w:rsidRPr="002C2539">
          <w:rPr>
            <w:rStyle w:val="af0"/>
            <w:rFonts w:ascii="Times New Roman" w:eastAsia="宋体" w:hAnsi="Times New Roman" w:hint="eastAsia"/>
            <w:kern w:val="0"/>
            <w:sz w:val="21"/>
            <w:szCs w:val="21"/>
            <w:lang w:val="zh-CN"/>
          </w:rPr>
          <w:t>第七章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回避制度</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_Toc51281045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5</w:t>
        </w:r>
        <w:r w:rsidR="00E246B9" w:rsidRPr="002C2539">
          <w:rPr>
            <w:rFonts w:ascii="Times New Roman" w:eastAsia="宋体" w:hAnsi="Times New Roman"/>
            <w:sz w:val="21"/>
            <w:szCs w:val="21"/>
          </w:rPr>
          <w:fldChar w:fldCharType="end"/>
        </w:r>
      </w:hyperlink>
    </w:p>
    <w:p w14:paraId="0A85FE8A" w14:textId="7FED4FF8" w:rsidR="003B1A88" w:rsidRPr="002C2539" w:rsidRDefault="00311F20">
      <w:pPr>
        <w:pStyle w:val="TOC1"/>
        <w:tabs>
          <w:tab w:val="right" w:leader="dot" w:pos="8296"/>
        </w:tabs>
        <w:rPr>
          <w:rFonts w:ascii="Times New Roman" w:eastAsia="宋体" w:hAnsi="Times New Roman"/>
          <w:sz w:val="21"/>
          <w:szCs w:val="21"/>
        </w:rPr>
      </w:pPr>
      <w:hyperlink w:anchor="_Toc51281046" w:history="1">
        <w:r w:rsidR="00E246B9" w:rsidRPr="002C2539">
          <w:rPr>
            <w:rStyle w:val="af0"/>
            <w:rFonts w:ascii="Times New Roman" w:eastAsia="宋体" w:hAnsi="Times New Roman" w:hint="eastAsia"/>
            <w:kern w:val="0"/>
            <w:sz w:val="21"/>
            <w:szCs w:val="21"/>
            <w:lang w:val="zh-CN"/>
          </w:rPr>
          <w:t>第八章</w:t>
        </w:r>
        <w:r w:rsidR="00E246B9" w:rsidRPr="002C2539">
          <w:rPr>
            <w:rStyle w:val="af0"/>
            <w:rFonts w:ascii="Times New Roman" w:eastAsia="宋体" w:hAnsi="Times New Roman"/>
            <w:kern w:val="0"/>
            <w:sz w:val="21"/>
            <w:szCs w:val="21"/>
            <w:lang w:val="zh-CN"/>
          </w:rPr>
          <w:t xml:space="preserve"> </w:t>
        </w:r>
        <w:r w:rsidR="00E246B9" w:rsidRPr="002C2539">
          <w:rPr>
            <w:rStyle w:val="af0"/>
            <w:rFonts w:ascii="Times New Roman" w:eastAsia="宋体" w:hAnsi="Times New Roman" w:hint="eastAsia"/>
            <w:kern w:val="0"/>
            <w:sz w:val="21"/>
            <w:szCs w:val="21"/>
            <w:lang w:val="zh-CN"/>
          </w:rPr>
          <w:t>附则</w:t>
        </w:r>
        <w:r w:rsidR="00E246B9" w:rsidRPr="002C2539">
          <w:rPr>
            <w:rFonts w:ascii="Times New Roman" w:eastAsia="宋体" w:hAnsi="Times New Roman"/>
            <w:sz w:val="21"/>
            <w:szCs w:val="21"/>
          </w:rPr>
          <w:tab/>
        </w:r>
        <w:r w:rsidR="00E246B9" w:rsidRPr="002C2539">
          <w:rPr>
            <w:rFonts w:ascii="Times New Roman" w:eastAsia="宋体" w:hAnsi="Times New Roman"/>
            <w:sz w:val="21"/>
            <w:szCs w:val="21"/>
          </w:rPr>
          <w:fldChar w:fldCharType="begin"/>
        </w:r>
        <w:r w:rsidR="00E246B9" w:rsidRPr="002C2539">
          <w:rPr>
            <w:rFonts w:ascii="Times New Roman" w:eastAsia="宋体" w:hAnsi="Times New Roman"/>
            <w:sz w:val="21"/>
            <w:szCs w:val="21"/>
          </w:rPr>
          <w:instrText xml:space="preserve"> PAGEREF _Toc51281046 \h </w:instrText>
        </w:r>
        <w:r w:rsidR="00E246B9" w:rsidRPr="002C2539">
          <w:rPr>
            <w:rFonts w:ascii="Times New Roman" w:eastAsia="宋体" w:hAnsi="Times New Roman"/>
            <w:sz w:val="21"/>
            <w:szCs w:val="21"/>
          </w:rPr>
        </w:r>
        <w:r w:rsidR="00E246B9" w:rsidRPr="002C2539">
          <w:rPr>
            <w:rFonts w:ascii="Times New Roman" w:eastAsia="宋体" w:hAnsi="Times New Roman"/>
            <w:sz w:val="21"/>
            <w:szCs w:val="21"/>
          </w:rPr>
          <w:fldChar w:fldCharType="separate"/>
        </w:r>
        <w:r w:rsidR="0081463F">
          <w:rPr>
            <w:rFonts w:ascii="Times New Roman" w:eastAsia="宋体" w:hAnsi="Times New Roman"/>
            <w:noProof/>
            <w:sz w:val="21"/>
            <w:szCs w:val="21"/>
          </w:rPr>
          <w:t>6</w:t>
        </w:r>
        <w:r w:rsidR="00E246B9" w:rsidRPr="002C2539">
          <w:rPr>
            <w:rFonts w:ascii="Times New Roman" w:eastAsia="宋体" w:hAnsi="Times New Roman"/>
            <w:sz w:val="21"/>
            <w:szCs w:val="21"/>
          </w:rPr>
          <w:fldChar w:fldCharType="end"/>
        </w:r>
      </w:hyperlink>
    </w:p>
    <w:p w14:paraId="08C160CA" w14:textId="77777777" w:rsidR="003B1A88" w:rsidRDefault="00E246B9">
      <w:pPr>
        <w:rPr>
          <w:b/>
          <w:bCs/>
          <w:lang w:val="zh-CN"/>
        </w:rPr>
        <w:sectPr w:rsidR="003B1A88">
          <w:pgSz w:w="11906" w:h="16838"/>
          <w:pgMar w:top="1440" w:right="1800" w:bottom="1440" w:left="1800" w:header="851" w:footer="992" w:gutter="0"/>
          <w:pgNumType w:fmt="numberInDash"/>
          <w:cols w:space="425"/>
          <w:docGrid w:type="lines" w:linePitch="312"/>
        </w:sectPr>
      </w:pPr>
      <w:r w:rsidRPr="002C2539">
        <w:rPr>
          <w:rFonts w:ascii="Times New Roman" w:eastAsia="宋体" w:hAnsi="Times New Roman"/>
          <w:b/>
          <w:bCs/>
          <w:sz w:val="21"/>
          <w:szCs w:val="21"/>
          <w:lang w:val="zh-CN"/>
        </w:rPr>
        <w:fldChar w:fldCharType="end"/>
      </w:r>
    </w:p>
    <w:p w14:paraId="7DAAE239" w14:textId="77777777" w:rsidR="003B1A88" w:rsidRDefault="003B1A88"/>
    <w:p w14:paraId="1FB5916E" w14:textId="77777777" w:rsidR="003B1A88" w:rsidRDefault="00E246B9" w:rsidP="002C2539">
      <w:pPr>
        <w:tabs>
          <w:tab w:val="left" w:pos="1080"/>
        </w:tabs>
        <w:autoSpaceDE w:val="0"/>
        <w:autoSpaceDN w:val="0"/>
        <w:adjustRightInd w:val="0"/>
        <w:snapToGrid w:val="0"/>
        <w:spacing w:line="360" w:lineRule="auto"/>
        <w:ind w:right="57" w:firstLineChars="200" w:firstLine="643"/>
        <w:jc w:val="center"/>
        <w:rPr>
          <w:rFonts w:eastAsia="宋体"/>
          <w:kern w:val="0"/>
          <w:sz w:val="32"/>
          <w:szCs w:val="32"/>
        </w:rPr>
      </w:pPr>
      <w:r w:rsidRPr="002C2539">
        <w:rPr>
          <w:rFonts w:ascii="Times New Roman" w:eastAsia="宋体" w:hAnsi="Times New Roman" w:hint="eastAsia"/>
          <w:b/>
          <w:kern w:val="0"/>
          <w:sz w:val="32"/>
          <w:szCs w:val="32"/>
        </w:rPr>
        <w:t>董事会战略与投资委员会工作细则</w:t>
      </w:r>
      <w:bookmarkEnd w:id="0"/>
    </w:p>
    <w:p w14:paraId="1398F205" w14:textId="77777777" w:rsidR="003B1A88" w:rsidRPr="002C2539" w:rsidRDefault="003B1A88" w:rsidP="002C2539">
      <w:pPr>
        <w:tabs>
          <w:tab w:val="left" w:pos="1080"/>
        </w:tabs>
        <w:autoSpaceDE w:val="0"/>
        <w:autoSpaceDN w:val="0"/>
        <w:adjustRightInd w:val="0"/>
        <w:snapToGrid w:val="0"/>
        <w:spacing w:line="360" w:lineRule="auto"/>
        <w:ind w:right="57" w:firstLineChars="200" w:firstLine="640"/>
        <w:jc w:val="center"/>
        <w:rPr>
          <w:rFonts w:eastAsia="宋体"/>
          <w:kern w:val="0"/>
          <w:sz w:val="32"/>
          <w:szCs w:val="32"/>
        </w:rPr>
      </w:pPr>
    </w:p>
    <w:p w14:paraId="6D89611C" w14:textId="33087C8C"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3" w:name="_Toc187427195"/>
      <w:bookmarkStart w:id="4" w:name="_Toc51281039"/>
      <w:r w:rsidRPr="002C2539">
        <w:rPr>
          <w:rFonts w:ascii="Times New Roman" w:eastAsia="宋体" w:hAnsi="Times New Roman" w:hint="eastAsia"/>
          <w:b w:val="0"/>
          <w:bCs w:val="0"/>
          <w:kern w:val="0"/>
          <w:sz w:val="28"/>
          <w:szCs w:val="28"/>
          <w:lang w:val="zh-CN"/>
        </w:rPr>
        <w:t>第一章</w:t>
      </w:r>
      <w:r w:rsidRPr="002C2539">
        <w:rPr>
          <w:rFonts w:ascii="Times New Roman" w:eastAsia="宋体" w:hAnsi="Times New Roman"/>
          <w:b w:val="0"/>
          <w:bCs w:val="0"/>
          <w:kern w:val="0"/>
          <w:sz w:val="28"/>
          <w:szCs w:val="28"/>
          <w:lang w:val="zh-CN"/>
        </w:rPr>
        <w:t xml:space="preserve"> </w:t>
      </w:r>
      <w:r w:rsidRPr="002C2539">
        <w:rPr>
          <w:rFonts w:ascii="Times New Roman" w:eastAsia="宋体" w:hAnsi="Times New Roman" w:hint="eastAsia"/>
          <w:b w:val="0"/>
          <w:bCs w:val="0"/>
          <w:kern w:val="0"/>
          <w:sz w:val="28"/>
          <w:szCs w:val="28"/>
          <w:lang w:val="zh-CN"/>
        </w:rPr>
        <w:t>总</w:t>
      </w:r>
      <w:r w:rsidRPr="002C2539">
        <w:rPr>
          <w:rFonts w:ascii="Times New Roman" w:eastAsia="宋体" w:hAnsi="Times New Roman"/>
          <w:b w:val="0"/>
          <w:bCs w:val="0"/>
          <w:kern w:val="0"/>
          <w:sz w:val="28"/>
          <w:szCs w:val="28"/>
          <w:lang w:val="zh-CN"/>
        </w:rPr>
        <w:t xml:space="preserve">  </w:t>
      </w:r>
      <w:r w:rsidRPr="002C2539">
        <w:rPr>
          <w:rFonts w:ascii="Times New Roman" w:eastAsia="宋体" w:hAnsi="Times New Roman" w:hint="eastAsia"/>
          <w:b w:val="0"/>
          <w:bCs w:val="0"/>
          <w:kern w:val="0"/>
          <w:sz w:val="28"/>
          <w:szCs w:val="28"/>
          <w:lang w:val="zh-CN"/>
        </w:rPr>
        <w:t>则</w:t>
      </w:r>
      <w:bookmarkEnd w:id="3"/>
      <w:bookmarkEnd w:id="4"/>
    </w:p>
    <w:p w14:paraId="4A5F7152" w14:textId="77777777" w:rsidR="003B1A88" w:rsidRDefault="003B1A88">
      <w:pPr>
        <w:spacing w:line="360" w:lineRule="auto"/>
        <w:rPr>
          <w:rFonts w:ascii="宋体" w:eastAsia="宋体" w:hAnsi="宋体"/>
          <w:sz w:val="24"/>
        </w:rPr>
      </w:pPr>
    </w:p>
    <w:p w14:paraId="5BC68046" w14:textId="6D09247A"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为适应三</w:t>
      </w:r>
      <w:proofErr w:type="gramStart"/>
      <w:r>
        <w:rPr>
          <w:rFonts w:ascii="宋体" w:eastAsia="宋体" w:hAnsi="宋体" w:hint="eastAsia"/>
          <w:sz w:val="24"/>
        </w:rPr>
        <w:t>湘印象</w:t>
      </w:r>
      <w:proofErr w:type="gramEnd"/>
      <w:r>
        <w:rPr>
          <w:rFonts w:ascii="宋体" w:eastAsia="宋体" w:hAnsi="宋体" w:hint="eastAsia"/>
          <w:sz w:val="24"/>
        </w:rPr>
        <w:t>股份有限公司（以下简称“</w:t>
      </w:r>
      <w:r w:rsidRPr="002C2539">
        <w:rPr>
          <w:rFonts w:ascii="宋体" w:eastAsia="宋体" w:hAnsi="宋体" w:hint="eastAsia"/>
          <w:b/>
          <w:sz w:val="24"/>
        </w:rPr>
        <w:t>公司</w:t>
      </w:r>
      <w:r>
        <w:rPr>
          <w:rFonts w:ascii="宋体" w:eastAsia="宋体" w:hAnsi="宋体" w:hint="eastAsia"/>
          <w:sz w:val="24"/>
        </w:rPr>
        <w:t>”）战略发展需要，确定公司发展规划，健全投资决策程序，加强决策科学性，完善公司治理结构，根据《中华人民共和国公司法》（以下简称</w:t>
      </w:r>
      <w:r>
        <w:rPr>
          <w:rFonts w:ascii="宋体" w:eastAsia="宋体" w:hAnsi="宋体"/>
          <w:sz w:val="24"/>
        </w:rPr>
        <w:t>“</w:t>
      </w:r>
      <w:r w:rsidRPr="002C2539">
        <w:rPr>
          <w:rFonts w:ascii="宋体" w:eastAsia="宋体" w:hAnsi="宋体" w:hint="eastAsia"/>
          <w:b/>
          <w:sz w:val="24"/>
        </w:rPr>
        <w:t>《公司法》</w:t>
      </w:r>
      <w:r>
        <w:rPr>
          <w:rFonts w:ascii="宋体" w:eastAsia="宋体" w:hAnsi="宋体"/>
          <w:sz w:val="24"/>
        </w:rPr>
        <w:t>”）</w:t>
      </w:r>
      <w:r>
        <w:rPr>
          <w:rFonts w:ascii="宋体" w:eastAsia="宋体" w:hAnsi="宋体" w:hint="eastAsia"/>
          <w:sz w:val="24"/>
        </w:rPr>
        <w:t>、《上市公司治理准则》、《三湘印象股份有限公司章程》（以下简称“</w:t>
      </w:r>
      <w:r w:rsidRPr="002C2539">
        <w:rPr>
          <w:rFonts w:ascii="宋体" w:eastAsia="宋体" w:hAnsi="宋体" w:hint="eastAsia"/>
          <w:b/>
          <w:sz w:val="24"/>
        </w:rPr>
        <w:t>《公司章程》”</w:t>
      </w:r>
      <w:r>
        <w:rPr>
          <w:rFonts w:ascii="宋体" w:eastAsia="宋体" w:hAnsi="宋体" w:hint="eastAsia"/>
          <w:sz w:val="24"/>
        </w:rPr>
        <w:t>）及其他有关规定，公司董事会特设</w:t>
      </w:r>
      <w:proofErr w:type="gramStart"/>
      <w:r>
        <w:rPr>
          <w:rFonts w:ascii="宋体" w:eastAsia="宋体" w:hAnsi="宋体" w:hint="eastAsia"/>
          <w:sz w:val="24"/>
        </w:rPr>
        <w:t>立战略</w:t>
      </w:r>
      <w:proofErr w:type="gramEnd"/>
      <w:r>
        <w:rPr>
          <w:rFonts w:ascii="宋体" w:eastAsia="宋体" w:hAnsi="宋体" w:hint="eastAsia"/>
          <w:sz w:val="24"/>
        </w:rPr>
        <w:t>与投资委员会，并制定本工作细则。</w:t>
      </w:r>
    </w:p>
    <w:p w14:paraId="6933F7A3" w14:textId="4F7CAE9E"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董事会战略</w:t>
      </w:r>
      <w:r>
        <w:rPr>
          <w:rFonts w:ascii="宋体" w:eastAsia="宋体" w:hAnsi="宋体" w:hint="eastAsia"/>
          <w:sz w:val="24"/>
        </w:rPr>
        <w:t>与</w:t>
      </w:r>
      <w:r>
        <w:rPr>
          <w:rFonts w:ascii="宋体" w:eastAsia="宋体" w:hAnsi="宋体"/>
          <w:sz w:val="24"/>
        </w:rPr>
        <w:t>投资</w:t>
      </w:r>
      <w:r w:rsidRPr="002C2539">
        <w:rPr>
          <w:rFonts w:ascii="宋体" w:eastAsia="宋体" w:hAnsi="宋体" w:hint="eastAsia"/>
          <w:sz w:val="24"/>
        </w:rPr>
        <w:t>委员会是董事会下设立的专门工作机构，主要负责对公司长期发展战略和重大投资决策进行研究并提出建议。</w:t>
      </w:r>
    </w:p>
    <w:p w14:paraId="09B00BE0" w14:textId="77777777" w:rsidR="003B1A88" w:rsidRPr="002C2539" w:rsidRDefault="003B1A88" w:rsidP="002C2539">
      <w:pPr>
        <w:pStyle w:val="a6"/>
        <w:adjustRightInd w:val="0"/>
        <w:snapToGrid w:val="0"/>
        <w:spacing w:after="0" w:line="300" w:lineRule="auto"/>
        <w:ind w:firstLine="480"/>
        <w:rPr>
          <w:rFonts w:ascii="宋体" w:eastAsia="宋体" w:hAnsi="宋体"/>
          <w:sz w:val="24"/>
        </w:rPr>
      </w:pPr>
    </w:p>
    <w:p w14:paraId="41C433D1" w14:textId="7D43D3CA"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5" w:name="_Toc51281040"/>
      <w:bookmarkStart w:id="6" w:name="_Toc187427196"/>
      <w:r w:rsidRPr="002C2539">
        <w:rPr>
          <w:rFonts w:ascii="Times New Roman" w:eastAsia="宋体" w:hAnsi="Times New Roman" w:hint="eastAsia"/>
          <w:b w:val="0"/>
          <w:bCs w:val="0"/>
          <w:kern w:val="0"/>
          <w:sz w:val="28"/>
          <w:szCs w:val="28"/>
          <w:lang w:val="zh-CN"/>
        </w:rPr>
        <w:t>第二章</w:t>
      </w:r>
      <w:r w:rsidRPr="002C2539">
        <w:rPr>
          <w:rFonts w:ascii="Times New Roman" w:eastAsia="宋体" w:hAnsi="Times New Roman"/>
          <w:b w:val="0"/>
          <w:bCs w:val="0"/>
          <w:kern w:val="0"/>
          <w:sz w:val="28"/>
          <w:szCs w:val="28"/>
          <w:lang w:val="zh-CN"/>
        </w:rPr>
        <w:t xml:space="preserve"> </w:t>
      </w:r>
      <w:r w:rsidRPr="002C2539">
        <w:rPr>
          <w:rFonts w:ascii="Times New Roman" w:eastAsia="宋体" w:hAnsi="Times New Roman" w:hint="eastAsia"/>
          <w:b w:val="0"/>
          <w:bCs w:val="0"/>
          <w:kern w:val="0"/>
          <w:sz w:val="28"/>
          <w:szCs w:val="28"/>
          <w:lang w:val="zh-CN"/>
        </w:rPr>
        <w:t>人员组成</w:t>
      </w:r>
      <w:bookmarkEnd w:id="5"/>
      <w:bookmarkEnd w:id="6"/>
    </w:p>
    <w:p w14:paraId="1F04AF8C" w14:textId="77777777" w:rsidR="003B1A88" w:rsidRDefault="003B1A88" w:rsidP="002C2539">
      <w:pPr>
        <w:pStyle w:val="a6"/>
        <w:autoSpaceDE w:val="0"/>
        <w:autoSpaceDN w:val="0"/>
        <w:adjustRightInd w:val="0"/>
        <w:snapToGrid w:val="0"/>
        <w:spacing w:after="0" w:line="300" w:lineRule="auto"/>
        <w:ind w:firstLineChars="200" w:firstLine="480"/>
        <w:jc w:val="left"/>
        <w:rPr>
          <w:rFonts w:ascii="宋体" w:eastAsia="宋体" w:hAnsi="宋体"/>
          <w:color w:val="000000"/>
          <w:sz w:val="24"/>
        </w:rPr>
      </w:pPr>
    </w:p>
    <w:p w14:paraId="5492EFD8" w14:textId="5D48FC75" w:rsidR="003B1A88" w:rsidRDefault="00E246B9" w:rsidP="002C2539">
      <w:pPr>
        <w:pStyle w:val="a6"/>
        <w:numPr>
          <w:ilvl w:val="0"/>
          <w:numId w:val="1"/>
        </w:numPr>
        <w:tabs>
          <w:tab w:val="left" w:pos="1575"/>
        </w:tabs>
        <w:autoSpaceDE w:val="0"/>
        <w:autoSpaceDN w:val="0"/>
        <w:adjustRightInd w:val="0"/>
        <w:snapToGrid w:val="0"/>
        <w:spacing w:after="0" w:line="300" w:lineRule="auto"/>
        <w:ind w:left="1574" w:hangingChars="656" w:hanging="1574"/>
        <w:jc w:val="left"/>
        <w:rPr>
          <w:rFonts w:ascii="宋体" w:eastAsia="宋体" w:hAnsi="宋体"/>
          <w:color w:val="000000"/>
          <w:sz w:val="24"/>
        </w:rPr>
      </w:pPr>
      <w:r>
        <w:rPr>
          <w:rFonts w:ascii="宋体" w:eastAsia="宋体" w:hAnsi="宋体" w:hint="eastAsia"/>
          <w:color w:val="000000"/>
          <w:sz w:val="24"/>
        </w:rPr>
        <w:t>战略与投资委员会成员由九名董事组成。</w:t>
      </w:r>
    </w:p>
    <w:p w14:paraId="67DF76BE" w14:textId="75391B2B" w:rsidR="003B1A88" w:rsidRPr="002C2539" w:rsidRDefault="00E246B9" w:rsidP="002C2539">
      <w:pPr>
        <w:pStyle w:val="a6"/>
        <w:numPr>
          <w:ilvl w:val="0"/>
          <w:numId w:val="1"/>
        </w:numPr>
        <w:tabs>
          <w:tab w:val="left" w:pos="1575"/>
        </w:tabs>
        <w:autoSpaceDE w:val="0"/>
        <w:autoSpaceDN w:val="0"/>
        <w:adjustRightInd w:val="0"/>
        <w:snapToGrid w:val="0"/>
        <w:spacing w:after="0" w:line="300" w:lineRule="auto"/>
        <w:ind w:left="1574" w:hangingChars="656" w:hanging="1574"/>
        <w:jc w:val="left"/>
        <w:rPr>
          <w:rFonts w:ascii="宋体" w:eastAsia="宋体" w:hAnsi="宋体"/>
          <w:sz w:val="24"/>
        </w:rPr>
      </w:pPr>
      <w:r w:rsidRPr="002C2539">
        <w:rPr>
          <w:rFonts w:ascii="宋体" w:eastAsia="宋体" w:hAnsi="宋体" w:hint="eastAsia"/>
          <w:sz w:val="24"/>
        </w:rPr>
        <w:t>战略与投资委员会委员由董事长、二分之一以上独立董事或三分之一以上董事提名，经董事会选举产生。</w:t>
      </w:r>
    </w:p>
    <w:p w14:paraId="315DF862" w14:textId="31043C60"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战略与投资委员会设召集人一名，由公司董事长担任。</w:t>
      </w:r>
    </w:p>
    <w:p w14:paraId="3600CCF8" w14:textId="289EE15D"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董事长负责召集和主持战略与投资委员会会议，当董事长不能或无法履行职责时，由其指定一名其他委员代行其职责；董事长既不能履行职责，也不指定其他委员代行其职责时，任何一名委员均可将有关情况及时向公司董事会报告，由董事会指定一名委员代行召集人职责。</w:t>
      </w:r>
    </w:p>
    <w:p w14:paraId="16105348" w14:textId="596FBC94"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战略与投资委员会任期与董事会任期一致，委员任期届满，连选可以连任。期间如有委员不再担任公司董事职务，自动失去委员资格，并由战略与投资委员会根据上述第三条规定补足委员人数。</w:t>
      </w:r>
    </w:p>
    <w:p w14:paraId="3C6AAB7D" w14:textId="3591E568"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战略与投资委员会人数低于规定人数的三分之二时，公司董事会应及时增补新的委员人选。在战略与投资委员会</w:t>
      </w:r>
      <w:proofErr w:type="gramStart"/>
      <w:r w:rsidRPr="002C2539">
        <w:rPr>
          <w:rFonts w:ascii="宋体" w:eastAsia="宋体" w:hAnsi="宋体" w:hint="eastAsia"/>
          <w:sz w:val="24"/>
        </w:rPr>
        <w:t>委员数未达到</w:t>
      </w:r>
      <w:proofErr w:type="gramEnd"/>
      <w:r w:rsidRPr="002C2539">
        <w:rPr>
          <w:rFonts w:ascii="宋体" w:eastAsia="宋体" w:hAnsi="宋体" w:hint="eastAsia"/>
          <w:sz w:val="24"/>
        </w:rPr>
        <w:t>规定人数的三分之二以前，战略与投资委员会暂停行使本工作细则规定的职权。</w:t>
      </w:r>
    </w:p>
    <w:p w14:paraId="6341B931" w14:textId="1AA61607"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战略与投资委员会下设工作小组，为战略与投资委员会日常工作</w:t>
      </w:r>
      <w:r w:rsidRPr="002C2539">
        <w:rPr>
          <w:rFonts w:ascii="宋体" w:eastAsia="宋体" w:hAnsi="宋体" w:hint="eastAsia"/>
          <w:sz w:val="24"/>
        </w:rPr>
        <w:lastRenderedPageBreak/>
        <w:t>机构，由公司</w:t>
      </w:r>
      <w:r>
        <w:rPr>
          <w:rFonts w:ascii="宋体" w:eastAsia="宋体" w:hAnsi="宋体" w:hint="eastAsia"/>
          <w:sz w:val="24"/>
        </w:rPr>
        <w:t>总裁</w:t>
      </w:r>
      <w:r w:rsidRPr="002C2539">
        <w:rPr>
          <w:rFonts w:ascii="宋体" w:eastAsia="宋体" w:hAnsi="宋体" w:hint="eastAsia"/>
          <w:sz w:val="24"/>
        </w:rPr>
        <w:t>担任组长，工作组成员无需是战略与投资委员会委员。</w:t>
      </w:r>
    </w:p>
    <w:p w14:paraId="6B6A8462" w14:textId="70A7D445" w:rsidR="003B1A88" w:rsidRPr="002C2539" w:rsidRDefault="003B1A88" w:rsidP="002C2539">
      <w:pPr>
        <w:pStyle w:val="a6"/>
        <w:adjustRightInd w:val="0"/>
        <w:snapToGrid w:val="0"/>
        <w:spacing w:after="0" w:line="300" w:lineRule="auto"/>
        <w:ind w:firstLineChars="200" w:firstLine="480"/>
        <w:rPr>
          <w:rFonts w:ascii="宋体" w:eastAsia="宋体" w:hAnsi="宋体"/>
          <w:sz w:val="24"/>
        </w:rPr>
      </w:pPr>
    </w:p>
    <w:p w14:paraId="70659FE8" w14:textId="71875113"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7" w:name="_Toc187427197"/>
      <w:bookmarkStart w:id="8" w:name="_Toc51281041"/>
      <w:r w:rsidRPr="002C2539">
        <w:rPr>
          <w:rFonts w:ascii="Times New Roman" w:eastAsia="宋体" w:hAnsi="Times New Roman" w:hint="eastAsia"/>
          <w:b w:val="0"/>
          <w:bCs w:val="0"/>
          <w:kern w:val="0"/>
          <w:sz w:val="28"/>
          <w:szCs w:val="28"/>
          <w:lang w:val="zh-CN"/>
        </w:rPr>
        <w:t>第三章</w:t>
      </w:r>
      <w:r w:rsidRPr="002C2539">
        <w:rPr>
          <w:rFonts w:ascii="Times New Roman" w:eastAsia="宋体" w:hAnsi="Times New Roman"/>
          <w:b w:val="0"/>
          <w:bCs w:val="0"/>
          <w:kern w:val="0"/>
          <w:sz w:val="28"/>
          <w:szCs w:val="28"/>
          <w:lang w:val="zh-CN"/>
        </w:rPr>
        <w:t xml:space="preserve"> </w:t>
      </w:r>
      <w:r w:rsidRPr="002C2539">
        <w:rPr>
          <w:rFonts w:ascii="Times New Roman" w:eastAsia="宋体" w:hAnsi="Times New Roman" w:hint="eastAsia"/>
          <w:b w:val="0"/>
          <w:bCs w:val="0"/>
          <w:kern w:val="0"/>
          <w:sz w:val="28"/>
          <w:szCs w:val="28"/>
          <w:lang w:val="zh-CN"/>
        </w:rPr>
        <w:t>职责权限</w:t>
      </w:r>
      <w:bookmarkEnd w:id="7"/>
      <w:bookmarkEnd w:id="8"/>
    </w:p>
    <w:p w14:paraId="05B46E50" w14:textId="77777777" w:rsidR="003B1A88" w:rsidRDefault="003B1A88">
      <w:pPr>
        <w:spacing w:line="360" w:lineRule="auto"/>
        <w:rPr>
          <w:rFonts w:ascii="宋体" w:eastAsia="宋体" w:hAnsi="宋体"/>
          <w:sz w:val="24"/>
        </w:rPr>
      </w:pPr>
    </w:p>
    <w:p w14:paraId="75F89D3F" w14:textId="73A9121A"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战略与投资委员会的主要职责权限：</w:t>
      </w:r>
    </w:p>
    <w:p w14:paraId="5DB55DD7" w14:textId="382875B8"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对公司长期发展战略规划进行研究并提出建议，审议年度预算草案；</w:t>
      </w:r>
    </w:p>
    <w:p w14:paraId="11DDE6F0" w14:textId="0338DA81"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sz w:val="24"/>
        </w:rPr>
        <w:t>对公司的经营战略包括但不限于产品战略、市场战略、营销战略、研发战略、人才战略进行研究并提出建议；</w:t>
      </w:r>
    </w:p>
    <w:p w14:paraId="08F132E6" w14:textId="3723455B"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对《公司章程》规定须经董事会、股东会批准的对外投资、收购出售资产、资产抵押、对外担保、委托理财、关联交易、融资方案等重大事项进行研究并提出建议；</w:t>
      </w:r>
    </w:p>
    <w:p w14:paraId="283A4D64" w14:textId="5F287A44"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对其他影响公司发展的重大事项进行研究并提出建议；</w:t>
      </w:r>
    </w:p>
    <w:p w14:paraId="5FB7B2C5" w14:textId="2EE77B1D"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对以上事项的实施情况进行检查；</w:t>
      </w:r>
    </w:p>
    <w:p w14:paraId="2552074F" w14:textId="016ADD68" w:rsidR="003B1A88" w:rsidRDefault="00E246B9" w:rsidP="002C2539">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董事会授权的其他事宜。</w:t>
      </w:r>
    </w:p>
    <w:p w14:paraId="31142298" w14:textId="70AA1344"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战略与投资委员会对董事会负责，委员会的提案提交董事会审议决定。</w:t>
      </w:r>
    </w:p>
    <w:p w14:paraId="017F4647" w14:textId="3DDD81A9"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战略与投资委员会行使职权应符合《公司法》、《公司章程》及本工作细则的有关规定，不得损害公司和股东的合法权益。</w:t>
      </w:r>
    </w:p>
    <w:p w14:paraId="0AB7B8FC" w14:textId="7D142E1A"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战略与投资委员会履行职责时，公司相关部门应给予配合，所需费用由公司承担。战略与投资委员会认为有必要时，可以聘请中介机构为其决策提供专业意见，费用由公司支付。</w:t>
      </w:r>
    </w:p>
    <w:p w14:paraId="45404EF3" w14:textId="77777777" w:rsidR="003B1A88" w:rsidRDefault="003B1A88" w:rsidP="002C2539">
      <w:pPr>
        <w:spacing w:line="360" w:lineRule="auto"/>
        <w:rPr>
          <w:rFonts w:ascii="宋体" w:eastAsia="宋体" w:hAnsi="宋体"/>
          <w:sz w:val="24"/>
        </w:rPr>
      </w:pPr>
    </w:p>
    <w:p w14:paraId="4F21967B" w14:textId="0A39A325"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9" w:name="_Toc51281042"/>
      <w:r w:rsidRPr="002C2539">
        <w:rPr>
          <w:rFonts w:ascii="Times New Roman" w:eastAsia="宋体" w:hAnsi="Times New Roman"/>
          <w:b w:val="0"/>
          <w:bCs w:val="0"/>
          <w:kern w:val="0"/>
          <w:sz w:val="28"/>
          <w:szCs w:val="28"/>
          <w:lang w:val="zh-CN"/>
        </w:rPr>
        <w:t>第四章</w:t>
      </w:r>
      <w:r>
        <w:rPr>
          <w:rFonts w:ascii="Times New Roman" w:eastAsia="宋体" w:hAnsi="Times New Roman"/>
          <w:kern w:val="0"/>
          <w:sz w:val="28"/>
          <w:szCs w:val="28"/>
          <w:lang w:val="zh-CN"/>
        </w:rPr>
        <w:t xml:space="preserve"> </w:t>
      </w:r>
      <w:r w:rsidRPr="002C2539">
        <w:rPr>
          <w:rFonts w:ascii="Times New Roman" w:eastAsia="宋体" w:hAnsi="Times New Roman"/>
          <w:b w:val="0"/>
          <w:bCs w:val="0"/>
          <w:kern w:val="0"/>
          <w:sz w:val="28"/>
          <w:szCs w:val="28"/>
          <w:lang w:val="zh-CN"/>
        </w:rPr>
        <w:t>会议的召开与通知</w:t>
      </w:r>
      <w:bookmarkEnd w:id="9"/>
    </w:p>
    <w:p w14:paraId="5696D8E1" w14:textId="77777777" w:rsidR="003B1A88" w:rsidRDefault="003B1A88" w:rsidP="002C2539">
      <w:pPr>
        <w:spacing w:line="360" w:lineRule="auto"/>
        <w:rPr>
          <w:rFonts w:ascii="宋体" w:eastAsia="宋体" w:hAnsi="宋体"/>
          <w:sz w:val="24"/>
        </w:rPr>
      </w:pPr>
    </w:p>
    <w:p w14:paraId="6824B14C" w14:textId="75B2D711"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战略与投资委员会</w:t>
      </w:r>
      <w:r>
        <w:rPr>
          <w:rFonts w:ascii="宋体" w:eastAsia="宋体" w:hAnsi="宋体" w:cs="SimSun-Identity-H" w:hint="eastAsia"/>
          <w:sz w:val="24"/>
        </w:rPr>
        <w:t>会议由委员会委员根据需要提议召开。</w:t>
      </w:r>
    </w:p>
    <w:p w14:paraId="62B28E0B" w14:textId="77777777" w:rsidR="003B1A88" w:rsidRPr="002C2539" w:rsidRDefault="00E246B9" w:rsidP="002C2539">
      <w:pPr>
        <w:pStyle w:val="a6"/>
        <w:adjustRightInd w:val="0"/>
        <w:snapToGrid w:val="0"/>
        <w:spacing w:after="0" w:line="300" w:lineRule="auto"/>
        <w:ind w:left="1574" w:firstLine="570"/>
        <w:rPr>
          <w:rFonts w:ascii="宋体" w:eastAsia="宋体" w:hAnsi="宋体"/>
          <w:sz w:val="24"/>
        </w:rPr>
      </w:pPr>
      <w:r w:rsidRPr="002C2539">
        <w:rPr>
          <w:rFonts w:ascii="宋体" w:eastAsia="宋体" w:hAnsi="宋体" w:hint="eastAsia"/>
          <w:sz w:val="24"/>
        </w:rPr>
        <w:t>会议由召集人主持，召集人不能出席时可委托其他一名委员主持。</w:t>
      </w:r>
    </w:p>
    <w:p w14:paraId="5C3B02EB" w14:textId="6B9505D9"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战略与投资委员会会议必要时可以要求公司相关董事、监事及其他高管人员列席会议。</w:t>
      </w:r>
    </w:p>
    <w:p w14:paraId="17D6DD2B" w14:textId="16552A71"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战略与投资委员会召集会议可根据情况采用现场会议的形式，也可采用传真、视频、可视电话、电话等通讯方式。</w:t>
      </w:r>
    </w:p>
    <w:p w14:paraId="08AF5519" w14:textId="0B1656C0"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cs="SimSun-Identity-H" w:hint="eastAsia"/>
          <w:kern w:val="0"/>
          <w:sz w:val="24"/>
        </w:rPr>
        <w:t>会议通知须于会议召开前</w:t>
      </w:r>
      <w:r w:rsidRPr="002C2539">
        <w:rPr>
          <w:rFonts w:ascii="宋体" w:eastAsia="宋体" w:hAnsi="宋体" w:cs="TimesNewRomanPSMT-Identity-H" w:hint="eastAsia"/>
          <w:kern w:val="0"/>
          <w:sz w:val="24"/>
        </w:rPr>
        <w:t>三</w:t>
      </w:r>
      <w:r w:rsidRPr="002C2539">
        <w:rPr>
          <w:rFonts w:ascii="宋体" w:eastAsia="宋体" w:hAnsi="宋体" w:cs="SimSun-Identity-H" w:hint="eastAsia"/>
          <w:kern w:val="0"/>
          <w:sz w:val="24"/>
        </w:rPr>
        <w:t>天送达全体委员，但特别紧急情况下</w:t>
      </w:r>
      <w:r w:rsidRPr="002C2539">
        <w:rPr>
          <w:rFonts w:ascii="宋体" w:eastAsia="宋体" w:hAnsi="宋体" w:cs="SimSun-Identity-H" w:hint="eastAsia"/>
          <w:kern w:val="0"/>
          <w:sz w:val="24"/>
        </w:rPr>
        <w:lastRenderedPageBreak/>
        <w:t>可不受上述通知时限限制。</w:t>
      </w:r>
    </w:p>
    <w:p w14:paraId="49604984" w14:textId="7AF376F5"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战略与投资委员会会议通知至少包括以下内容：</w:t>
      </w:r>
    </w:p>
    <w:p w14:paraId="0DF137F4" w14:textId="31D177DC" w:rsidR="003B1A88" w:rsidRDefault="00E246B9" w:rsidP="002C2539">
      <w:pPr>
        <w:numPr>
          <w:ilvl w:val="0"/>
          <w:numId w:val="3"/>
        </w:numPr>
        <w:tabs>
          <w:tab w:val="left" w:pos="2268"/>
        </w:tabs>
        <w:snapToGrid w:val="0"/>
        <w:spacing w:line="300" w:lineRule="auto"/>
        <w:ind w:firstLine="1140"/>
        <w:rPr>
          <w:rFonts w:ascii="宋体" w:eastAsia="宋体" w:hAnsi="宋体"/>
          <w:sz w:val="24"/>
        </w:rPr>
      </w:pPr>
      <w:r>
        <w:rPr>
          <w:rFonts w:ascii="宋体" w:eastAsia="宋体" w:hAnsi="宋体"/>
          <w:sz w:val="24"/>
        </w:rPr>
        <w:t>会议召开时间、地点；</w:t>
      </w:r>
    </w:p>
    <w:p w14:paraId="79FC4DCD" w14:textId="4BEFF109" w:rsidR="003B1A88" w:rsidRDefault="00E246B9" w:rsidP="002C2539">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sz w:val="24"/>
        </w:rPr>
        <w:t>会议期限；</w:t>
      </w:r>
    </w:p>
    <w:p w14:paraId="5F419A39" w14:textId="4EFED65D" w:rsidR="003B1A88" w:rsidRDefault="00E246B9" w:rsidP="002C2539">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sz w:val="24"/>
        </w:rPr>
        <w:t>会议需要讨论的议题；</w:t>
      </w:r>
    </w:p>
    <w:p w14:paraId="72C65425" w14:textId="21727D70" w:rsidR="003B1A88" w:rsidRDefault="00E246B9" w:rsidP="002C2539">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sz w:val="24"/>
        </w:rPr>
        <w:t>会议联系人及联系方式；</w:t>
      </w:r>
    </w:p>
    <w:p w14:paraId="3D970EAC" w14:textId="4042E863" w:rsidR="003B1A88" w:rsidRDefault="00E246B9" w:rsidP="002C2539">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sz w:val="24"/>
        </w:rPr>
        <w:t>会议通知的日期。</w:t>
      </w:r>
    </w:p>
    <w:p w14:paraId="671AA071" w14:textId="486978EE"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战略与投资委员会会议通知</w:t>
      </w:r>
      <w:r>
        <w:rPr>
          <w:rFonts w:ascii="宋体" w:eastAsia="宋体" w:hAnsi="宋体" w:hint="eastAsia"/>
          <w:sz w:val="24"/>
        </w:rPr>
        <w:t>方式可以为：直接送达、传真、电子邮件或者其他方式。非直接送达的，还应当通过电话进行确认并做相应记录。</w:t>
      </w:r>
    </w:p>
    <w:p w14:paraId="038A0597" w14:textId="77777777" w:rsidR="003B1A88" w:rsidRDefault="003B1A88" w:rsidP="002C2539">
      <w:pPr>
        <w:pStyle w:val="a6"/>
        <w:adjustRightInd w:val="0"/>
        <w:snapToGrid w:val="0"/>
        <w:spacing w:after="0" w:line="300" w:lineRule="auto"/>
        <w:ind w:firstLineChars="168" w:firstLine="403"/>
        <w:rPr>
          <w:rFonts w:ascii="宋体" w:eastAsia="宋体" w:hAnsi="宋体"/>
          <w:sz w:val="24"/>
        </w:rPr>
      </w:pPr>
    </w:p>
    <w:p w14:paraId="610532F7" w14:textId="115111BD"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10" w:name="_Toc51281043"/>
      <w:r w:rsidRPr="002C2539">
        <w:rPr>
          <w:rFonts w:ascii="Times New Roman" w:eastAsia="宋体" w:hAnsi="Times New Roman"/>
          <w:b w:val="0"/>
          <w:bCs w:val="0"/>
          <w:kern w:val="0"/>
          <w:sz w:val="28"/>
          <w:szCs w:val="28"/>
          <w:lang w:val="zh-CN"/>
        </w:rPr>
        <w:t>第五章</w:t>
      </w:r>
      <w:r>
        <w:rPr>
          <w:rFonts w:ascii="Times New Roman" w:eastAsia="宋体" w:hAnsi="Times New Roman"/>
          <w:kern w:val="0"/>
          <w:sz w:val="28"/>
          <w:szCs w:val="28"/>
          <w:lang w:val="zh-CN"/>
        </w:rPr>
        <w:t xml:space="preserve"> </w:t>
      </w:r>
      <w:r w:rsidRPr="002C2539">
        <w:rPr>
          <w:rFonts w:ascii="Times New Roman" w:eastAsia="宋体" w:hAnsi="Times New Roman"/>
          <w:b w:val="0"/>
          <w:bCs w:val="0"/>
          <w:kern w:val="0"/>
          <w:sz w:val="28"/>
          <w:szCs w:val="28"/>
          <w:lang w:val="zh-CN"/>
        </w:rPr>
        <w:t>议事与表决程序</w:t>
      </w:r>
      <w:bookmarkEnd w:id="10"/>
    </w:p>
    <w:p w14:paraId="1F812804" w14:textId="77777777" w:rsidR="003B1A88" w:rsidRDefault="003B1A88" w:rsidP="002C2539">
      <w:pPr>
        <w:spacing w:line="360" w:lineRule="auto"/>
        <w:rPr>
          <w:rFonts w:ascii="宋体" w:eastAsia="宋体" w:hAnsi="宋体"/>
          <w:sz w:val="24"/>
        </w:rPr>
      </w:pPr>
    </w:p>
    <w:p w14:paraId="38E8E5B7" w14:textId="21863F65"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战略与投资委员会应由三分之二以上委员出席方可举行。公司董事可以列席战略与投资委员会会议，但非委员董事对会议议案没有表决权。</w:t>
      </w:r>
    </w:p>
    <w:p w14:paraId="59C1632A" w14:textId="15560BBA"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战略与投资委员会委员可以亲自出席会议，也可以委托其他委员代为出席会议并行使表决权。战略与投资委员会委员每次只能委托一名其他委员代为行使表决权，委托</w:t>
      </w:r>
      <w:r>
        <w:rPr>
          <w:rFonts w:ascii="宋体" w:eastAsia="宋体" w:hAnsi="宋体" w:hint="eastAsia"/>
          <w:sz w:val="24"/>
        </w:rPr>
        <w:t>两</w:t>
      </w:r>
      <w:r>
        <w:rPr>
          <w:rFonts w:ascii="宋体" w:eastAsia="宋体" w:hAnsi="宋体"/>
          <w:sz w:val="24"/>
        </w:rPr>
        <w:t>人或</w:t>
      </w:r>
      <w:r>
        <w:rPr>
          <w:rFonts w:ascii="宋体" w:eastAsia="宋体" w:hAnsi="宋体" w:hint="eastAsia"/>
          <w:sz w:val="24"/>
        </w:rPr>
        <w:t>两</w:t>
      </w:r>
      <w:r>
        <w:rPr>
          <w:rFonts w:ascii="宋体" w:eastAsia="宋体" w:hAnsi="宋体"/>
          <w:sz w:val="24"/>
        </w:rPr>
        <w:t>人以上代为行使表决权的，该项委托无效。</w:t>
      </w:r>
    </w:p>
    <w:p w14:paraId="6B06193F" w14:textId="3800321F"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战略与投资委员会委员委托其他委员代为出席会议并行使表决权的，应向会议主持人提交授权委托书。有效的授权委托书应不迟于会议表决提交给会议主持人。</w:t>
      </w:r>
    </w:p>
    <w:p w14:paraId="640381AB" w14:textId="63C2EFDD"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授权委托书应由委托人和被委托人签名，应至少包括以下内容：</w:t>
      </w:r>
    </w:p>
    <w:p w14:paraId="759259A8" w14:textId="4878DB4F" w:rsidR="003B1A88" w:rsidRDefault="00E246B9" w:rsidP="002C2539">
      <w:pPr>
        <w:numPr>
          <w:ilvl w:val="0"/>
          <w:numId w:val="4"/>
        </w:numPr>
        <w:tabs>
          <w:tab w:val="left" w:pos="2268"/>
        </w:tabs>
        <w:snapToGrid w:val="0"/>
        <w:spacing w:line="300" w:lineRule="auto"/>
        <w:ind w:firstLine="1140"/>
        <w:rPr>
          <w:rFonts w:ascii="宋体" w:eastAsia="宋体" w:hAnsi="宋体"/>
          <w:sz w:val="24"/>
        </w:rPr>
      </w:pPr>
      <w:r>
        <w:rPr>
          <w:rFonts w:ascii="宋体" w:eastAsia="宋体" w:hAnsi="宋体"/>
          <w:sz w:val="24"/>
        </w:rPr>
        <w:t>委托人姓名；</w:t>
      </w:r>
    </w:p>
    <w:p w14:paraId="0A866863" w14:textId="22EC0162" w:rsidR="003B1A88" w:rsidRDefault="00E246B9" w:rsidP="002C2539">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sz w:val="24"/>
        </w:rPr>
        <w:t>被委托人姓名；</w:t>
      </w:r>
    </w:p>
    <w:p w14:paraId="615F563C" w14:textId="52FDDF06" w:rsidR="003B1A88" w:rsidRDefault="00E246B9" w:rsidP="002C2539">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sz w:val="24"/>
        </w:rPr>
        <w:t>代理委托事项；</w:t>
      </w:r>
    </w:p>
    <w:p w14:paraId="217C2573" w14:textId="7061BB86" w:rsidR="003B1A88" w:rsidRDefault="00E246B9" w:rsidP="002C2539">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sz w:val="24"/>
        </w:rPr>
        <w:t>对会议议题行使投票权的指示（赞成、反对或弃权）以及未做具体指示时，被委托人是否可按自己意向表决的说明；</w:t>
      </w:r>
    </w:p>
    <w:p w14:paraId="32B5649A" w14:textId="7063F56B" w:rsidR="003B1A88" w:rsidRDefault="00E246B9" w:rsidP="002C2539">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sz w:val="24"/>
        </w:rPr>
        <w:t>授权委托的期限；</w:t>
      </w:r>
    </w:p>
    <w:p w14:paraId="73E127C8" w14:textId="45CAFFE2" w:rsidR="003B1A88" w:rsidRDefault="00E246B9" w:rsidP="002C2539">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sz w:val="24"/>
        </w:rPr>
        <w:t>授权委托书签署日期。</w:t>
      </w:r>
    </w:p>
    <w:p w14:paraId="27C810B5" w14:textId="51F188B0"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战略与投资委员会委员既不亲自出席会议，也未委托其他委员代为出席会议的，视为放弃在该次会议上的投票权</w:t>
      </w:r>
      <w:r>
        <w:rPr>
          <w:rFonts w:ascii="宋体" w:eastAsia="宋体" w:hAnsi="宋体" w:hint="eastAsia"/>
          <w:sz w:val="24"/>
        </w:rPr>
        <w:t>，并视为未出席相关会议</w:t>
      </w:r>
      <w:r>
        <w:rPr>
          <w:rFonts w:ascii="宋体" w:eastAsia="宋体" w:hAnsi="宋体"/>
          <w:sz w:val="24"/>
        </w:rPr>
        <w:t>。</w:t>
      </w:r>
    </w:p>
    <w:p w14:paraId="4135B609" w14:textId="77777777" w:rsidR="003B1A88" w:rsidRPr="002C2539" w:rsidRDefault="00E246B9" w:rsidP="002C2539">
      <w:pPr>
        <w:pStyle w:val="a6"/>
        <w:adjustRightInd w:val="0"/>
        <w:snapToGrid w:val="0"/>
        <w:spacing w:after="0" w:line="300" w:lineRule="auto"/>
        <w:ind w:left="1574" w:firstLine="570"/>
        <w:rPr>
          <w:rFonts w:ascii="宋体" w:eastAsia="宋体" w:hAnsi="宋体"/>
          <w:sz w:val="24"/>
        </w:rPr>
      </w:pPr>
      <w:r w:rsidRPr="002C2539">
        <w:rPr>
          <w:rFonts w:ascii="宋体" w:eastAsia="宋体" w:hAnsi="宋体" w:hint="eastAsia"/>
          <w:sz w:val="24"/>
        </w:rPr>
        <w:t>战略与投资委员会委员连续两次不出席会议也不委托其他</w:t>
      </w:r>
      <w:r w:rsidRPr="002C2539">
        <w:rPr>
          <w:rFonts w:ascii="宋体" w:eastAsia="宋体" w:hAnsi="宋体" w:hint="eastAsia"/>
          <w:sz w:val="24"/>
        </w:rPr>
        <w:lastRenderedPageBreak/>
        <w:t>委员出席的，视为不能适当履行其职权，公司董事会可以免去其委员职务。</w:t>
      </w:r>
    </w:p>
    <w:p w14:paraId="318317C1" w14:textId="5BA5A6F4"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战略与投资委员会进行表决时，每名委员享有一票表决权。战略与投资委员会所作决议应经全体委员（包括未出席会议的委员）过半数同意方为通过。</w:t>
      </w:r>
    </w:p>
    <w:p w14:paraId="7E5E787B" w14:textId="566B1C0B"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战略与投资委员会会议对所议事</w:t>
      </w:r>
      <w:proofErr w:type="gramStart"/>
      <w:r w:rsidRPr="002C2539">
        <w:rPr>
          <w:rFonts w:ascii="宋体" w:eastAsia="宋体" w:hAnsi="宋体" w:hint="eastAsia"/>
          <w:sz w:val="24"/>
        </w:rPr>
        <w:t>项采取</w:t>
      </w:r>
      <w:proofErr w:type="gramEnd"/>
      <w:r w:rsidRPr="002C2539">
        <w:rPr>
          <w:rFonts w:ascii="宋体" w:eastAsia="宋体" w:hAnsi="宋体" w:hint="eastAsia"/>
          <w:sz w:val="24"/>
        </w:rPr>
        <w:t>集中审议、依次表决的规则，即全部议案</w:t>
      </w:r>
      <w:proofErr w:type="gramStart"/>
      <w:r w:rsidRPr="002C2539">
        <w:rPr>
          <w:rFonts w:ascii="宋体" w:eastAsia="宋体" w:hAnsi="宋体" w:hint="eastAsia"/>
          <w:sz w:val="24"/>
        </w:rPr>
        <w:t>经所有</w:t>
      </w:r>
      <w:proofErr w:type="gramEnd"/>
      <w:r w:rsidRPr="002C2539">
        <w:rPr>
          <w:rFonts w:ascii="宋体" w:eastAsia="宋体" w:hAnsi="宋体" w:hint="eastAsia"/>
          <w:sz w:val="24"/>
        </w:rPr>
        <w:t>与会委员审议完毕后，依照议案审议顺序对议案进行逐项表决。</w:t>
      </w:r>
    </w:p>
    <w:p w14:paraId="09410025" w14:textId="6B1DDF3C" w:rsidR="003B1A88" w:rsidRPr="002C2539"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战略与投资委员会如认为必要，可以召集与会议议案有关的其他人员列席会议介绍情况或发表意见，但非战略与投资委员会委员对议案没有表决权。</w:t>
      </w:r>
    </w:p>
    <w:p w14:paraId="1DAF4FDA" w14:textId="6655943F"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出席会议的委员应本着认真负责的态度，对议案进行审议并充分表达个人意见；委员对其个人的投票表决承担责任。</w:t>
      </w:r>
    </w:p>
    <w:p w14:paraId="685EEDAC" w14:textId="398AAF97"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战略与投资委员会进行表决时，既可采取记名投票表决方式，也可采取举手表决方式，但若有任何一名委员要求采取记名投票表决方式时，应当采取记名投票表决方式。</w:t>
      </w:r>
      <w:r>
        <w:rPr>
          <w:rFonts w:ascii="宋体" w:eastAsia="宋体" w:hAnsi="宋体" w:hint="eastAsia"/>
          <w:sz w:val="24"/>
        </w:rPr>
        <w:t>如会议以传真方式做出会议决议时，表决方式为签字方式。</w:t>
      </w:r>
    </w:p>
    <w:p w14:paraId="1CD0DC05" w14:textId="77777777" w:rsidR="003B1A88" w:rsidRPr="002C2539" w:rsidRDefault="00E246B9" w:rsidP="002C2539">
      <w:pPr>
        <w:pStyle w:val="a6"/>
        <w:adjustRightInd w:val="0"/>
        <w:snapToGrid w:val="0"/>
        <w:spacing w:after="0" w:line="300" w:lineRule="auto"/>
        <w:ind w:left="1574" w:firstLine="570"/>
        <w:rPr>
          <w:rFonts w:ascii="宋体" w:eastAsia="宋体" w:hAnsi="宋体"/>
          <w:sz w:val="24"/>
        </w:rPr>
      </w:pPr>
      <w:r w:rsidRPr="002C2539">
        <w:rPr>
          <w:rFonts w:ascii="宋体" w:eastAsia="宋体" w:hAnsi="宋体" w:hint="eastAsia"/>
          <w:sz w:val="24"/>
        </w:rPr>
        <w:t>委员的表决意向分为赞成、反对和弃权。与会委员应当从上述意向中选择其一，未做选择或者同时选择两个以上意向的，会议主持人应当要求有关委员重新选择，拒不选择的，视为弃权；中途离开会场不回而未做选择的，视为弃权。</w:t>
      </w:r>
    </w:p>
    <w:p w14:paraId="63CED96B" w14:textId="47C63A24"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采取记名投票表决方式的，在与会委员表决完成后，有关工作人员应当及时收集委员的</w:t>
      </w:r>
      <w:proofErr w:type="gramStart"/>
      <w:r>
        <w:rPr>
          <w:rFonts w:ascii="宋体" w:eastAsia="宋体" w:hAnsi="宋体"/>
          <w:sz w:val="24"/>
        </w:rPr>
        <w:t>表决票并进行</w:t>
      </w:r>
      <w:proofErr w:type="gramEnd"/>
      <w:r>
        <w:rPr>
          <w:rFonts w:ascii="宋体" w:eastAsia="宋体" w:hAnsi="宋体"/>
          <w:sz w:val="24"/>
        </w:rPr>
        <w:t>统计。现场召开会议的，会议主持人应当当场宣布统计结果；其他情况下，会议主持人应当要求</w:t>
      </w:r>
      <w:r>
        <w:rPr>
          <w:rFonts w:ascii="宋体" w:eastAsia="宋体" w:hAnsi="宋体" w:hint="eastAsia"/>
          <w:sz w:val="24"/>
        </w:rPr>
        <w:t>战略与投资委员会工作小组</w:t>
      </w:r>
      <w:r>
        <w:rPr>
          <w:rFonts w:ascii="宋体" w:eastAsia="宋体" w:hAnsi="宋体"/>
          <w:sz w:val="24"/>
        </w:rPr>
        <w:t>处在规定的表决时限结束后下一工作日之前，通知委员表决结果。</w:t>
      </w:r>
    </w:p>
    <w:p w14:paraId="1177C01B" w14:textId="77777777" w:rsidR="003B1A88" w:rsidRDefault="00E246B9" w:rsidP="002C2539">
      <w:pPr>
        <w:pStyle w:val="a6"/>
        <w:adjustRightInd w:val="0"/>
        <w:snapToGrid w:val="0"/>
        <w:spacing w:after="0" w:line="300" w:lineRule="auto"/>
        <w:ind w:left="1574" w:firstLine="570"/>
        <w:rPr>
          <w:rFonts w:ascii="宋体" w:eastAsia="宋体" w:hAnsi="宋体"/>
          <w:sz w:val="24"/>
        </w:rPr>
      </w:pPr>
      <w:r w:rsidRPr="002C2539">
        <w:rPr>
          <w:rFonts w:ascii="宋体" w:eastAsia="宋体" w:hAnsi="宋体" w:hint="eastAsia"/>
          <w:sz w:val="24"/>
        </w:rPr>
        <w:t>委员在会议主持人宣布表决结果后或者规定的表决时限结束后进行表决的，其表决情况不予统计。</w:t>
      </w:r>
    </w:p>
    <w:p w14:paraId="3A11844E" w14:textId="77777777" w:rsidR="003B1A88" w:rsidRPr="002C2539" w:rsidRDefault="003B1A88" w:rsidP="002C2539">
      <w:pPr>
        <w:pStyle w:val="a6"/>
        <w:adjustRightInd w:val="0"/>
        <w:snapToGrid w:val="0"/>
        <w:spacing w:after="0" w:line="300" w:lineRule="auto"/>
        <w:ind w:firstLine="570"/>
        <w:rPr>
          <w:rFonts w:ascii="宋体" w:eastAsia="宋体" w:hAnsi="宋体"/>
          <w:sz w:val="24"/>
        </w:rPr>
      </w:pPr>
    </w:p>
    <w:p w14:paraId="4D0D7C87" w14:textId="1AB15305"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11" w:name="_Toc51281044"/>
      <w:r w:rsidRPr="002C2539">
        <w:rPr>
          <w:rFonts w:ascii="Times New Roman" w:eastAsia="宋体" w:hAnsi="Times New Roman"/>
          <w:b w:val="0"/>
          <w:bCs w:val="0"/>
          <w:kern w:val="0"/>
          <w:sz w:val="28"/>
          <w:szCs w:val="28"/>
          <w:lang w:val="zh-CN"/>
        </w:rPr>
        <w:t>第六章</w:t>
      </w:r>
      <w:r>
        <w:rPr>
          <w:rFonts w:ascii="Times New Roman" w:eastAsia="宋体" w:hAnsi="Times New Roman"/>
          <w:kern w:val="0"/>
          <w:sz w:val="28"/>
          <w:szCs w:val="28"/>
          <w:lang w:val="zh-CN"/>
        </w:rPr>
        <w:t xml:space="preserve"> </w:t>
      </w:r>
      <w:r w:rsidRPr="002C2539">
        <w:rPr>
          <w:rFonts w:ascii="Times New Roman" w:eastAsia="宋体" w:hAnsi="Times New Roman"/>
          <w:b w:val="0"/>
          <w:bCs w:val="0"/>
          <w:kern w:val="0"/>
          <w:sz w:val="28"/>
          <w:szCs w:val="28"/>
          <w:lang w:val="zh-CN"/>
        </w:rPr>
        <w:t>会议决议和会议记录</w:t>
      </w:r>
      <w:bookmarkEnd w:id="11"/>
    </w:p>
    <w:p w14:paraId="196F18DE" w14:textId="77777777" w:rsidR="003B1A88" w:rsidRDefault="003B1A88" w:rsidP="002C2539">
      <w:pPr>
        <w:spacing w:line="360" w:lineRule="auto"/>
        <w:jc w:val="left"/>
        <w:rPr>
          <w:rFonts w:ascii="宋体" w:eastAsia="宋体" w:hAnsi="宋体"/>
          <w:sz w:val="24"/>
        </w:rPr>
      </w:pPr>
    </w:p>
    <w:p w14:paraId="5619BD9C" w14:textId="7BF62DA6"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每项议案获得规定的有效表决票数后，经会议主持人宣布即形成战略与投资委员会决议。以现场会议方式召开的，战略与投资委员会决议经出席会议委员签字并经董事会批准后生效。以通讯方式召开的，战略与投资委员会决议经委员在会议决议（或传真</w:t>
      </w:r>
      <w:r>
        <w:rPr>
          <w:rFonts w:ascii="宋体" w:eastAsia="宋体" w:hAnsi="宋体"/>
          <w:sz w:val="24"/>
        </w:rPr>
        <w:lastRenderedPageBreak/>
        <w:t>件）上签字并经董事会批准后生效。未依照法律、行政法规、部门规章等规范性文件、《公司章程》及本工作细则规定的合法程序，不得对已生效的战略与投资委员会决议作任何修改或变更。</w:t>
      </w:r>
    </w:p>
    <w:p w14:paraId="348BF605" w14:textId="419479C4"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战略与投资委员会应当于会议决议产生</w:t>
      </w:r>
      <w:r>
        <w:rPr>
          <w:rFonts w:ascii="宋体" w:eastAsia="宋体" w:hAnsi="宋体" w:hint="eastAsia"/>
          <w:sz w:val="24"/>
        </w:rPr>
        <w:t>当</w:t>
      </w:r>
      <w:r>
        <w:rPr>
          <w:rFonts w:ascii="宋体" w:eastAsia="宋体" w:hAnsi="宋体"/>
          <w:sz w:val="24"/>
        </w:rPr>
        <w:t>日，将会议决议有关情况向公司董事会通报。</w:t>
      </w:r>
    </w:p>
    <w:p w14:paraId="7869EA51" w14:textId="247A96C2"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战略与投资委员会决议实施的过程中，战略与投资委员会召集人或其指定的其他委员应就决议的实施情况进行跟踪检查，在检查中发现有违反决议的事项时，可以要求和督促有关人员予以纠正，有关人员若不采纳意见，战略与投资委员会召集人或其指定的委员应将有关情况向公司董事会</w:t>
      </w:r>
      <w:proofErr w:type="gramStart"/>
      <w:r>
        <w:rPr>
          <w:rFonts w:ascii="宋体" w:eastAsia="宋体" w:hAnsi="宋体"/>
          <w:sz w:val="24"/>
        </w:rPr>
        <w:t>作出</w:t>
      </w:r>
      <w:proofErr w:type="gramEnd"/>
      <w:r>
        <w:rPr>
          <w:rFonts w:ascii="宋体" w:eastAsia="宋体" w:hAnsi="宋体"/>
          <w:sz w:val="24"/>
        </w:rPr>
        <w:t>汇报，由公司董事会负责处理。</w:t>
      </w:r>
    </w:p>
    <w:p w14:paraId="124F10BA" w14:textId="184EC48B"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战略与投资委员会会议应当有书面记录，出席会议的委员和会议记录人应当在会议记录上签名。出席会议的委员有权要求在记录上对其在会议上的发言</w:t>
      </w:r>
      <w:proofErr w:type="gramStart"/>
      <w:r>
        <w:rPr>
          <w:rFonts w:ascii="宋体" w:eastAsia="宋体" w:hAnsi="宋体"/>
          <w:sz w:val="24"/>
        </w:rPr>
        <w:t>作出</w:t>
      </w:r>
      <w:proofErr w:type="gramEnd"/>
      <w:r>
        <w:rPr>
          <w:rFonts w:ascii="宋体" w:eastAsia="宋体" w:hAnsi="宋体"/>
          <w:sz w:val="24"/>
        </w:rPr>
        <w:t>说明性记载。</w:t>
      </w:r>
    </w:p>
    <w:p w14:paraId="7E41673D" w14:textId="3C7E1C6A"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战略与投资委员会会议记录应至少包括以下内容：</w:t>
      </w:r>
    </w:p>
    <w:p w14:paraId="2E228DCA" w14:textId="4D14D1DE" w:rsidR="003B1A88" w:rsidRDefault="00E246B9" w:rsidP="002C2539">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sz w:val="24"/>
        </w:rPr>
        <w:t>会议召开的日期、地点和召集人姓名；</w:t>
      </w:r>
    </w:p>
    <w:p w14:paraId="7EA65752" w14:textId="32C416CE" w:rsidR="003B1A88" w:rsidRDefault="00E246B9" w:rsidP="002C2539">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sz w:val="24"/>
        </w:rPr>
        <w:t>出席会议人员的姓名，受他人委托出席会议的应特别注明；</w:t>
      </w:r>
    </w:p>
    <w:p w14:paraId="4E70D5EE" w14:textId="27AB988E" w:rsidR="003B1A88" w:rsidRDefault="00E246B9" w:rsidP="002C2539">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sz w:val="24"/>
        </w:rPr>
        <w:t>会议议程；</w:t>
      </w:r>
    </w:p>
    <w:p w14:paraId="59CBF017" w14:textId="7D085081" w:rsidR="003B1A88" w:rsidRDefault="00E246B9" w:rsidP="002C2539">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sz w:val="24"/>
        </w:rPr>
        <w:t>委员发言要点；</w:t>
      </w:r>
    </w:p>
    <w:p w14:paraId="7FC67A05" w14:textId="43056BA9" w:rsidR="003B1A88" w:rsidRDefault="00E246B9" w:rsidP="002C2539">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sz w:val="24"/>
        </w:rPr>
        <w:t>每一议案的表决方式和表决结果（说明赞成、反对或弃权的票数）；</w:t>
      </w:r>
    </w:p>
    <w:p w14:paraId="7C43FF95" w14:textId="4200038B" w:rsidR="003B1A88" w:rsidRDefault="00E246B9" w:rsidP="002C2539">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sz w:val="24"/>
        </w:rPr>
        <w:t>其他应当在会议记录中说明和记载的事项。</w:t>
      </w:r>
    </w:p>
    <w:p w14:paraId="3BA882A5" w14:textId="7E9D573F" w:rsidR="003B1A88" w:rsidRDefault="00E246B9" w:rsidP="002C2539">
      <w:pPr>
        <w:pStyle w:val="a6"/>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sz w:val="24"/>
        </w:rPr>
        <w:t>战略与投资委员会会议档案，包括会议通知、会议材料、会议签到簿、委员代为出席的授权委托书、表决票、经与会委员签字确认的会议记录、决议等，由董事会办公室负责保存。战略与投资委员会会议档案的保存期限为10年。</w:t>
      </w:r>
    </w:p>
    <w:p w14:paraId="4AA8B594" w14:textId="3F6346E6"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在公司依法定程序将战略与投资委员会决议予以公开之前，与会委员和会议列席人员、记录和服务人员等负有对决议内容保密的义务。</w:t>
      </w:r>
    </w:p>
    <w:p w14:paraId="454ACD1A" w14:textId="77777777" w:rsidR="003B1A88" w:rsidRPr="002C2539" w:rsidRDefault="003B1A88" w:rsidP="002C2539">
      <w:pPr>
        <w:pStyle w:val="a6"/>
        <w:adjustRightInd w:val="0"/>
        <w:snapToGrid w:val="0"/>
        <w:spacing w:after="0" w:line="300" w:lineRule="auto"/>
        <w:ind w:firstLineChars="200" w:firstLine="480"/>
        <w:rPr>
          <w:rFonts w:ascii="宋体" w:eastAsia="宋体" w:hAnsi="宋体"/>
          <w:sz w:val="24"/>
        </w:rPr>
      </w:pPr>
    </w:p>
    <w:p w14:paraId="61AB2C38" w14:textId="77777777"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12" w:name="_Toc51281045"/>
      <w:r w:rsidRPr="002C2539">
        <w:rPr>
          <w:rFonts w:ascii="Times New Roman" w:eastAsia="宋体" w:hAnsi="Times New Roman" w:hint="eastAsia"/>
          <w:b w:val="0"/>
          <w:bCs w:val="0"/>
          <w:kern w:val="0"/>
          <w:sz w:val="28"/>
          <w:szCs w:val="28"/>
          <w:lang w:val="zh-CN"/>
        </w:rPr>
        <w:t>第七章</w:t>
      </w:r>
      <w:r w:rsidRPr="002C2539">
        <w:rPr>
          <w:rFonts w:ascii="Times New Roman" w:eastAsia="宋体" w:hAnsi="Times New Roman"/>
          <w:b w:val="0"/>
          <w:bCs w:val="0"/>
          <w:kern w:val="0"/>
          <w:sz w:val="28"/>
          <w:szCs w:val="28"/>
          <w:lang w:val="zh-CN"/>
        </w:rPr>
        <w:t xml:space="preserve"> </w:t>
      </w:r>
      <w:r w:rsidRPr="002C2539">
        <w:rPr>
          <w:rFonts w:ascii="Times New Roman" w:eastAsia="宋体" w:hAnsi="Times New Roman" w:hint="eastAsia"/>
          <w:b w:val="0"/>
          <w:bCs w:val="0"/>
          <w:kern w:val="0"/>
          <w:sz w:val="28"/>
          <w:szCs w:val="28"/>
          <w:lang w:val="zh-CN"/>
        </w:rPr>
        <w:t>回避制度</w:t>
      </w:r>
      <w:bookmarkEnd w:id="12"/>
    </w:p>
    <w:p w14:paraId="7ECC4F02" w14:textId="77777777" w:rsidR="003B1A88" w:rsidRDefault="003B1A88" w:rsidP="002C2539">
      <w:pPr>
        <w:pStyle w:val="a6"/>
        <w:adjustRightInd w:val="0"/>
        <w:snapToGrid w:val="0"/>
        <w:spacing w:after="0" w:line="300" w:lineRule="auto"/>
        <w:ind w:firstLineChars="200" w:firstLine="480"/>
        <w:rPr>
          <w:rFonts w:ascii="宋体" w:eastAsia="宋体" w:hAnsi="宋体"/>
          <w:sz w:val="24"/>
        </w:rPr>
      </w:pPr>
    </w:p>
    <w:p w14:paraId="3FAAEC62" w14:textId="4BA779B3"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战略与投资委员会委员个人或其近亲属或战略与投资委员会委员及其近亲属控制的其他企业与会议所讨论的议题有直接或者间接的利害关系时，该委员应尽快向战略与投资委员会披露利害关系</w:t>
      </w:r>
      <w:r>
        <w:rPr>
          <w:rFonts w:ascii="宋体" w:eastAsia="宋体" w:hAnsi="宋体" w:hint="eastAsia"/>
          <w:sz w:val="24"/>
        </w:rPr>
        <w:lastRenderedPageBreak/>
        <w:t>的性质和程度。</w:t>
      </w:r>
    </w:p>
    <w:p w14:paraId="1B3B2EF7" w14:textId="72F4B1F9" w:rsidR="003B1A88" w:rsidRPr="002C2539" w:rsidRDefault="00E246B9" w:rsidP="002C2539">
      <w:pPr>
        <w:pStyle w:val="a6"/>
        <w:adjustRightInd w:val="0"/>
        <w:snapToGrid w:val="0"/>
        <w:spacing w:after="0" w:line="300" w:lineRule="auto"/>
        <w:ind w:left="1574" w:firstLine="573"/>
        <w:rPr>
          <w:rFonts w:ascii="宋体" w:eastAsia="宋体" w:hAnsi="宋体"/>
          <w:sz w:val="24"/>
        </w:rPr>
      </w:pPr>
      <w:r w:rsidRPr="002C2539">
        <w:rPr>
          <w:rFonts w:ascii="宋体" w:eastAsia="宋体" w:hAnsi="宋体" w:hint="eastAsia"/>
          <w:sz w:val="24"/>
        </w:rPr>
        <w:t>前款所称“近亲属”是指配偶、父母及配偶的父母、兄弟姐妹及其配偶、年满</w:t>
      </w:r>
      <w:r w:rsidRPr="002C2539">
        <w:rPr>
          <w:rFonts w:ascii="宋体" w:eastAsia="宋体" w:hAnsi="宋体"/>
          <w:sz w:val="24"/>
        </w:rPr>
        <w:t>18</w:t>
      </w:r>
      <w:r w:rsidRPr="002C2539">
        <w:rPr>
          <w:rFonts w:ascii="宋体" w:eastAsia="宋体" w:hAnsi="宋体" w:hint="eastAsia"/>
          <w:sz w:val="24"/>
        </w:rPr>
        <w:t>周岁的子女及其配偶、配偶的兄弟姐妹和子女配偶的父母。</w:t>
      </w:r>
    </w:p>
    <w:p w14:paraId="436D6866" w14:textId="4A7E1067"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发生前条所述情形时，有利害关系的委员在战略与投资委员会委员会议上应当详细说明相关情况并明确表示自行回避表决。但战略与投资委员会委员其他成员经讨论一致认为该等利害关系对表决事项不会产生显著影响的，有利害关系委员可以参加表决。</w:t>
      </w:r>
    </w:p>
    <w:p w14:paraId="574AE1FA" w14:textId="77777777" w:rsidR="003B1A88" w:rsidRPr="002C2539" w:rsidRDefault="00E246B9" w:rsidP="002C2539">
      <w:pPr>
        <w:pStyle w:val="a6"/>
        <w:adjustRightInd w:val="0"/>
        <w:snapToGrid w:val="0"/>
        <w:spacing w:after="0" w:line="300" w:lineRule="auto"/>
        <w:ind w:left="1574" w:firstLine="573"/>
        <w:rPr>
          <w:rFonts w:ascii="宋体" w:eastAsia="宋体" w:hAnsi="宋体"/>
          <w:sz w:val="24"/>
        </w:rPr>
      </w:pPr>
      <w:r w:rsidRPr="002C2539">
        <w:rPr>
          <w:rFonts w:ascii="宋体" w:eastAsia="宋体" w:hAnsi="宋体" w:hint="eastAsia"/>
          <w:sz w:val="24"/>
        </w:rPr>
        <w:t>公司董事会如认为前款有利害关系的委员参加表决不适当的，可以撤销相关议案的表决结果，要求无利害关系的委员对相关议案重新进行表决。</w:t>
      </w:r>
    </w:p>
    <w:p w14:paraId="2631D2B0" w14:textId="0E9F6F82"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战略与投资委员会会议在不将有利害关系的委员计入法定人数的情况下，对议案进行审议并</w:t>
      </w:r>
      <w:proofErr w:type="gramStart"/>
      <w:r>
        <w:rPr>
          <w:rFonts w:ascii="宋体" w:eastAsia="宋体" w:hAnsi="宋体" w:hint="eastAsia"/>
          <w:sz w:val="24"/>
        </w:rPr>
        <w:t>作出</w:t>
      </w:r>
      <w:proofErr w:type="gramEnd"/>
      <w:r>
        <w:rPr>
          <w:rFonts w:ascii="宋体" w:eastAsia="宋体" w:hAnsi="宋体" w:hint="eastAsia"/>
          <w:sz w:val="24"/>
        </w:rPr>
        <w:t>决议。有利害关系的委员回避</w:t>
      </w:r>
      <w:proofErr w:type="gramStart"/>
      <w:r>
        <w:rPr>
          <w:rFonts w:ascii="宋体" w:eastAsia="宋体" w:hAnsi="宋体" w:hint="eastAsia"/>
          <w:sz w:val="24"/>
        </w:rPr>
        <w:t>后战略</w:t>
      </w:r>
      <w:proofErr w:type="gramEnd"/>
      <w:r>
        <w:rPr>
          <w:rFonts w:ascii="宋体" w:eastAsia="宋体" w:hAnsi="宋体" w:hint="eastAsia"/>
          <w:sz w:val="24"/>
        </w:rPr>
        <w:t>与投资委员会委员不足出席会议的最低法定人数时，应当由全体委员（含有利害关系的委员）就该等议案提交公司董事会审议等程序性问题</w:t>
      </w:r>
      <w:proofErr w:type="gramStart"/>
      <w:r>
        <w:rPr>
          <w:rFonts w:ascii="宋体" w:eastAsia="宋体" w:hAnsi="宋体" w:hint="eastAsia"/>
          <w:sz w:val="24"/>
        </w:rPr>
        <w:t>作出</w:t>
      </w:r>
      <w:proofErr w:type="gramEnd"/>
      <w:r>
        <w:rPr>
          <w:rFonts w:ascii="宋体" w:eastAsia="宋体" w:hAnsi="宋体" w:hint="eastAsia"/>
          <w:sz w:val="24"/>
        </w:rPr>
        <w:t>决议，由公司董事会对该等议案进行审议。</w:t>
      </w:r>
    </w:p>
    <w:p w14:paraId="606C7217" w14:textId="3BBF9FBB"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战略与投资委员会会议记录及会议决议应说明有利害关系的委员回避表决情况。</w:t>
      </w:r>
    </w:p>
    <w:p w14:paraId="3B61D97C" w14:textId="77777777" w:rsidR="003B1A88" w:rsidRPr="002C2539" w:rsidRDefault="003B1A88" w:rsidP="002C2539">
      <w:pPr>
        <w:pStyle w:val="a6"/>
        <w:adjustRightInd w:val="0"/>
        <w:snapToGrid w:val="0"/>
        <w:spacing w:after="0" w:line="300" w:lineRule="auto"/>
        <w:ind w:firstLine="573"/>
        <w:rPr>
          <w:rFonts w:ascii="宋体" w:eastAsia="宋体" w:hAnsi="宋体"/>
          <w:sz w:val="24"/>
        </w:rPr>
      </w:pPr>
    </w:p>
    <w:p w14:paraId="33E150ED" w14:textId="415F9536" w:rsidR="003B1A88" w:rsidRPr="002C2539" w:rsidRDefault="00E246B9" w:rsidP="002C2539">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13" w:name="_Toc51281046"/>
      <w:r w:rsidRPr="002C2539">
        <w:rPr>
          <w:rFonts w:ascii="Times New Roman" w:eastAsia="宋体" w:hAnsi="Times New Roman"/>
          <w:b w:val="0"/>
          <w:bCs w:val="0"/>
          <w:kern w:val="0"/>
          <w:sz w:val="28"/>
          <w:szCs w:val="28"/>
          <w:lang w:val="zh-CN"/>
        </w:rPr>
        <w:t>第</w:t>
      </w:r>
      <w:r w:rsidRPr="002C2539">
        <w:rPr>
          <w:rFonts w:ascii="Times New Roman" w:eastAsia="宋体" w:hAnsi="Times New Roman" w:hint="eastAsia"/>
          <w:b w:val="0"/>
          <w:bCs w:val="0"/>
          <w:kern w:val="0"/>
          <w:sz w:val="28"/>
          <w:szCs w:val="28"/>
          <w:lang w:val="zh-CN"/>
        </w:rPr>
        <w:t>八</w:t>
      </w:r>
      <w:r w:rsidRPr="002C2539">
        <w:rPr>
          <w:rFonts w:ascii="Times New Roman" w:eastAsia="宋体" w:hAnsi="Times New Roman"/>
          <w:b w:val="0"/>
          <w:bCs w:val="0"/>
          <w:kern w:val="0"/>
          <w:sz w:val="28"/>
          <w:szCs w:val="28"/>
          <w:lang w:val="zh-CN"/>
        </w:rPr>
        <w:t>章</w:t>
      </w:r>
      <w:r>
        <w:rPr>
          <w:rFonts w:ascii="Times New Roman" w:eastAsia="宋体" w:hAnsi="Times New Roman"/>
          <w:kern w:val="0"/>
          <w:sz w:val="28"/>
          <w:szCs w:val="28"/>
          <w:lang w:val="zh-CN"/>
        </w:rPr>
        <w:t xml:space="preserve"> </w:t>
      </w:r>
      <w:r w:rsidRPr="002C2539">
        <w:rPr>
          <w:rFonts w:ascii="Times New Roman" w:eastAsia="宋体" w:hAnsi="Times New Roman"/>
          <w:b w:val="0"/>
          <w:bCs w:val="0"/>
          <w:kern w:val="0"/>
          <w:sz w:val="28"/>
          <w:szCs w:val="28"/>
          <w:lang w:val="zh-CN"/>
        </w:rPr>
        <w:t>附则</w:t>
      </w:r>
      <w:bookmarkEnd w:id="13"/>
    </w:p>
    <w:p w14:paraId="65EA56A2" w14:textId="77777777" w:rsidR="003B1A88" w:rsidRDefault="003B1A88" w:rsidP="002C2539">
      <w:pPr>
        <w:spacing w:line="360" w:lineRule="auto"/>
        <w:rPr>
          <w:rFonts w:ascii="宋体" w:eastAsia="宋体" w:hAnsi="宋体"/>
          <w:sz w:val="24"/>
        </w:rPr>
      </w:pPr>
    </w:p>
    <w:p w14:paraId="2C946A51" w14:textId="439D761E" w:rsidR="003B1A88" w:rsidRDefault="00E246B9" w:rsidP="002C2539">
      <w:pPr>
        <w:pStyle w:val="a6"/>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sz w:val="24"/>
        </w:rPr>
        <w:t>本工作细则所称</w:t>
      </w:r>
      <w:r>
        <w:rPr>
          <w:rFonts w:ascii="宋体" w:eastAsia="宋体" w:hAnsi="宋体" w:hint="eastAsia"/>
          <w:sz w:val="24"/>
        </w:rPr>
        <w:t>“</w:t>
      </w:r>
      <w:r>
        <w:rPr>
          <w:rFonts w:ascii="宋体" w:eastAsia="宋体" w:hAnsi="宋体"/>
          <w:sz w:val="24"/>
        </w:rPr>
        <w:t>以上</w:t>
      </w:r>
      <w:r>
        <w:rPr>
          <w:rFonts w:ascii="宋体" w:eastAsia="宋体" w:hAnsi="宋体" w:hint="eastAsia"/>
          <w:sz w:val="24"/>
        </w:rPr>
        <w:t>”</w:t>
      </w:r>
      <w:r>
        <w:rPr>
          <w:rFonts w:ascii="宋体" w:eastAsia="宋体" w:hAnsi="宋体"/>
          <w:sz w:val="24"/>
        </w:rPr>
        <w:t>、</w:t>
      </w:r>
      <w:r>
        <w:rPr>
          <w:rFonts w:ascii="宋体" w:eastAsia="宋体" w:hAnsi="宋体" w:hint="eastAsia"/>
          <w:sz w:val="24"/>
        </w:rPr>
        <w:t>“</w:t>
      </w:r>
      <w:r>
        <w:rPr>
          <w:rFonts w:ascii="宋体" w:eastAsia="宋体" w:hAnsi="宋体"/>
          <w:sz w:val="24"/>
        </w:rPr>
        <w:t>以下</w:t>
      </w:r>
      <w:r>
        <w:rPr>
          <w:rFonts w:ascii="宋体" w:eastAsia="宋体" w:hAnsi="宋体" w:hint="eastAsia"/>
          <w:sz w:val="24"/>
        </w:rPr>
        <w:t>”</w:t>
      </w:r>
      <w:r>
        <w:rPr>
          <w:rFonts w:ascii="宋体" w:eastAsia="宋体" w:hAnsi="宋体"/>
          <w:sz w:val="24"/>
        </w:rPr>
        <w:t>均包含本数</w:t>
      </w:r>
      <w:r w:rsidR="002B7E40">
        <w:rPr>
          <w:rFonts w:ascii="宋体" w:eastAsia="宋体" w:hAnsi="宋体" w:hint="eastAsia"/>
          <w:sz w:val="24"/>
        </w:rPr>
        <w:t>，</w:t>
      </w:r>
      <w:r w:rsidR="002B7E40" w:rsidRPr="002B7E40">
        <w:rPr>
          <w:rFonts w:ascii="宋体" w:eastAsia="宋体" w:hAnsi="宋体" w:hint="eastAsia"/>
          <w:sz w:val="24"/>
        </w:rPr>
        <w:t>“低于”不含本数</w:t>
      </w:r>
      <w:r w:rsidR="002B7E40">
        <w:rPr>
          <w:rFonts w:ascii="宋体" w:eastAsia="宋体" w:hAnsi="宋体" w:hint="eastAsia"/>
          <w:sz w:val="24"/>
        </w:rPr>
        <w:t>。</w:t>
      </w:r>
    </w:p>
    <w:p w14:paraId="4F8DFBE1" w14:textId="0E8627F5" w:rsidR="003B1A88" w:rsidRPr="002C2539" w:rsidRDefault="00E246B9" w:rsidP="002C2539">
      <w:pPr>
        <w:pStyle w:val="a6"/>
        <w:numPr>
          <w:ilvl w:val="0"/>
          <w:numId w:val="1"/>
        </w:numPr>
        <w:tabs>
          <w:tab w:val="left" w:pos="1575"/>
        </w:tabs>
        <w:autoSpaceDE w:val="0"/>
        <w:autoSpaceDN w:val="0"/>
        <w:adjustRightInd w:val="0"/>
        <w:snapToGrid w:val="0"/>
        <w:spacing w:after="0" w:line="300" w:lineRule="auto"/>
        <w:ind w:left="1574" w:hangingChars="656" w:hanging="1574"/>
        <w:rPr>
          <w:rFonts w:ascii="宋体" w:eastAsia="宋体" w:hAnsi="宋体"/>
          <w:sz w:val="24"/>
        </w:rPr>
      </w:pPr>
      <w:r w:rsidRPr="002C2539">
        <w:rPr>
          <w:rFonts w:ascii="宋体" w:eastAsia="宋体" w:hAnsi="宋体" w:hint="eastAsia"/>
          <w:sz w:val="24"/>
        </w:rPr>
        <w:t>本细则未尽事宜，依照国家有关法律、法规、规范性文件以及</w:t>
      </w:r>
      <w:r>
        <w:rPr>
          <w:rFonts w:ascii="宋体" w:eastAsia="宋体" w:hAnsi="宋体" w:hint="eastAsia"/>
          <w:sz w:val="24"/>
        </w:rPr>
        <w:t>《</w:t>
      </w:r>
      <w:r w:rsidRPr="002C2539">
        <w:rPr>
          <w:rFonts w:ascii="宋体" w:eastAsia="宋体" w:hAnsi="宋体" w:hint="eastAsia"/>
          <w:sz w:val="24"/>
        </w:rPr>
        <w:t>公司章程</w:t>
      </w:r>
      <w:r>
        <w:rPr>
          <w:rFonts w:ascii="宋体" w:eastAsia="宋体" w:hAnsi="宋体" w:hint="eastAsia"/>
          <w:sz w:val="24"/>
        </w:rPr>
        <w:t>》</w:t>
      </w:r>
      <w:r w:rsidRPr="002C2539">
        <w:rPr>
          <w:rFonts w:ascii="宋体" w:eastAsia="宋体" w:hAnsi="宋体" w:hint="eastAsia"/>
          <w:sz w:val="24"/>
        </w:rPr>
        <w:t>的有关规定执行。本细则与有关法律、法规、规范性文件以及</w:t>
      </w:r>
      <w:r>
        <w:rPr>
          <w:rFonts w:ascii="宋体" w:eastAsia="宋体" w:hAnsi="宋体" w:hint="eastAsia"/>
          <w:sz w:val="24"/>
        </w:rPr>
        <w:t>《</w:t>
      </w:r>
      <w:r w:rsidRPr="002C2539">
        <w:rPr>
          <w:rFonts w:ascii="宋体" w:eastAsia="宋体" w:hAnsi="宋体" w:hint="eastAsia"/>
          <w:sz w:val="24"/>
        </w:rPr>
        <w:t>公司章程</w:t>
      </w:r>
      <w:r>
        <w:rPr>
          <w:rFonts w:ascii="宋体" w:eastAsia="宋体" w:hAnsi="宋体" w:hint="eastAsia"/>
          <w:sz w:val="24"/>
        </w:rPr>
        <w:t>》</w:t>
      </w:r>
      <w:r w:rsidRPr="002C2539">
        <w:rPr>
          <w:rFonts w:ascii="宋体" w:eastAsia="宋体" w:hAnsi="宋体" w:hint="eastAsia"/>
          <w:sz w:val="24"/>
        </w:rPr>
        <w:t>的有关规定相抵触的，以有关法律、法规、规范性文件以及</w:t>
      </w:r>
      <w:r>
        <w:rPr>
          <w:rFonts w:ascii="宋体" w:eastAsia="宋体" w:hAnsi="宋体" w:hint="eastAsia"/>
          <w:sz w:val="24"/>
        </w:rPr>
        <w:t>《</w:t>
      </w:r>
      <w:r w:rsidRPr="002C2539">
        <w:rPr>
          <w:rFonts w:ascii="宋体" w:eastAsia="宋体" w:hAnsi="宋体" w:hint="eastAsia"/>
          <w:sz w:val="24"/>
        </w:rPr>
        <w:t>公司章程</w:t>
      </w:r>
      <w:r>
        <w:rPr>
          <w:rFonts w:ascii="宋体" w:eastAsia="宋体" w:hAnsi="宋体" w:hint="eastAsia"/>
          <w:sz w:val="24"/>
        </w:rPr>
        <w:t>》</w:t>
      </w:r>
      <w:r w:rsidRPr="002C2539">
        <w:rPr>
          <w:rFonts w:ascii="宋体" w:eastAsia="宋体" w:hAnsi="宋体" w:hint="eastAsia"/>
          <w:sz w:val="24"/>
        </w:rPr>
        <w:t>的规定为准。</w:t>
      </w:r>
    </w:p>
    <w:p w14:paraId="708554A5" w14:textId="6F8374CE" w:rsidR="003B1A88" w:rsidRDefault="00E246B9" w:rsidP="002C2539">
      <w:pPr>
        <w:pStyle w:val="a6"/>
        <w:numPr>
          <w:ilvl w:val="0"/>
          <w:numId w:val="1"/>
        </w:numPr>
        <w:tabs>
          <w:tab w:val="left" w:pos="1575"/>
        </w:tabs>
        <w:autoSpaceDE w:val="0"/>
        <w:autoSpaceDN w:val="0"/>
        <w:adjustRightInd w:val="0"/>
        <w:snapToGrid w:val="0"/>
        <w:spacing w:after="0" w:line="300" w:lineRule="auto"/>
        <w:ind w:left="1574" w:hangingChars="656" w:hanging="1574"/>
        <w:rPr>
          <w:rFonts w:ascii="宋体" w:eastAsia="宋体" w:hAnsi="宋体"/>
          <w:sz w:val="24"/>
        </w:rPr>
      </w:pPr>
      <w:r>
        <w:rPr>
          <w:rFonts w:ascii="宋体" w:eastAsia="宋体" w:hAnsi="宋体"/>
          <w:sz w:val="24"/>
        </w:rPr>
        <w:t>本</w:t>
      </w:r>
      <w:r>
        <w:rPr>
          <w:rFonts w:ascii="宋体" w:eastAsia="宋体" w:hAnsi="宋体" w:hint="eastAsia"/>
          <w:sz w:val="24"/>
        </w:rPr>
        <w:t>细则</w:t>
      </w:r>
      <w:r>
        <w:rPr>
          <w:rFonts w:ascii="宋体" w:eastAsia="宋体" w:hAnsi="宋体"/>
          <w:sz w:val="24"/>
        </w:rPr>
        <w:t>经公司董事会审议</w:t>
      </w:r>
      <w:r>
        <w:rPr>
          <w:rFonts w:ascii="宋体" w:eastAsia="宋体" w:hAnsi="宋体" w:hint="eastAsia"/>
          <w:sz w:val="24"/>
        </w:rPr>
        <w:t>通过之日起实施，</w:t>
      </w:r>
      <w:r>
        <w:rPr>
          <w:rFonts w:ascii="宋体" w:eastAsia="宋体" w:hAnsi="宋体"/>
          <w:sz w:val="24"/>
        </w:rPr>
        <w:t>由公司董事会负责解释</w:t>
      </w:r>
      <w:r>
        <w:rPr>
          <w:rFonts w:ascii="宋体" w:eastAsia="宋体" w:hAnsi="宋体" w:hint="eastAsia"/>
          <w:sz w:val="24"/>
        </w:rPr>
        <w:t>与</w:t>
      </w:r>
      <w:r>
        <w:rPr>
          <w:rFonts w:ascii="宋体" w:eastAsia="宋体" w:hAnsi="宋体"/>
          <w:sz w:val="24"/>
        </w:rPr>
        <w:t>修订。</w:t>
      </w:r>
    </w:p>
    <w:p w14:paraId="460D2F02" w14:textId="77777777" w:rsidR="003B1A88" w:rsidRDefault="003B1A88">
      <w:pPr>
        <w:spacing w:line="360" w:lineRule="auto"/>
        <w:rPr>
          <w:rFonts w:ascii="宋体" w:eastAsia="宋体" w:hAnsi="宋体"/>
          <w:sz w:val="24"/>
        </w:rPr>
      </w:pPr>
    </w:p>
    <w:p w14:paraId="02D13D51" w14:textId="77777777" w:rsidR="003B1A88" w:rsidRDefault="003B1A88">
      <w:pPr>
        <w:spacing w:line="360" w:lineRule="auto"/>
        <w:rPr>
          <w:rFonts w:ascii="宋体" w:eastAsia="宋体" w:hAnsi="宋体"/>
          <w:sz w:val="24"/>
        </w:rPr>
      </w:pPr>
    </w:p>
    <w:p w14:paraId="3029FAE2" w14:textId="77777777" w:rsidR="003B1A88" w:rsidRDefault="00E246B9">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三</w:t>
      </w:r>
      <w:proofErr w:type="gramStart"/>
      <w:r>
        <w:rPr>
          <w:rFonts w:ascii="宋体" w:eastAsia="宋体" w:hAnsi="宋体" w:cs="宋体" w:hint="eastAsia"/>
          <w:kern w:val="0"/>
          <w:sz w:val="24"/>
        </w:rPr>
        <w:t>湘印象</w:t>
      </w:r>
      <w:proofErr w:type="gramEnd"/>
      <w:r>
        <w:rPr>
          <w:rFonts w:ascii="宋体" w:eastAsia="宋体" w:hAnsi="宋体" w:cs="宋体" w:hint="eastAsia"/>
          <w:kern w:val="0"/>
          <w:sz w:val="24"/>
        </w:rPr>
        <w:t>股份有限公司</w:t>
      </w:r>
    </w:p>
    <w:p w14:paraId="558A7B42" w14:textId="625330C4" w:rsidR="003B1A88" w:rsidRDefault="00E246B9">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二〇二〇年</w:t>
      </w:r>
      <w:r w:rsidR="002C2539">
        <w:rPr>
          <w:rFonts w:ascii="宋体" w:eastAsia="宋体" w:hAnsi="宋体" w:cs="宋体" w:hint="eastAsia"/>
          <w:kern w:val="0"/>
          <w:sz w:val="24"/>
        </w:rPr>
        <w:t>十二</w:t>
      </w:r>
      <w:r>
        <w:rPr>
          <w:rFonts w:ascii="宋体" w:eastAsia="宋体" w:hAnsi="宋体" w:cs="宋体" w:hint="eastAsia"/>
          <w:kern w:val="0"/>
          <w:sz w:val="24"/>
        </w:rPr>
        <w:t>月</w:t>
      </w:r>
    </w:p>
    <w:p w14:paraId="7CCA2DD2" w14:textId="77777777" w:rsidR="003B1A88" w:rsidRDefault="003B1A88">
      <w:pPr>
        <w:spacing w:line="360" w:lineRule="auto"/>
      </w:pPr>
    </w:p>
    <w:sectPr w:rsidR="003B1A88">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7B43" w14:textId="77777777" w:rsidR="00311F20" w:rsidRDefault="00311F20">
      <w:r>
        <w:separator/>
      </w:r>
    </w:p>
  </w:endnote>
  <w:endnote w:type="continuationSeparator" w:id="0">
    <w:p w14:paraId="53C2CC92" w14:textId="77777777" w:rsidR="00311F20" w:rsidRDefault="003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Identity-H">
    <w:altName w:val="黑体"/>
    <w:charset w:val="86"/>
    <w:family w:val="auto"/>
    <w:pitch w:val="default"/>
    <w:sig w:usb0="00000000" w:usb1="00000000" w:usb2="00000010" w:usb3="00000000" w:csb0="00040000" w:csb1="00000000"/>
  </w:font>
  <w:font w:name="TimesNewRomanPSMT-Identity-H">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4476" w14:textId="77777777" w:rsidR="003B1A88" w:rsidRDefault="00E246B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C3532BE" w14:textId="77777777" w:rsidR="003B1A88" w:rsidRDefault="003B1A8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360F" w14:textId="77777777" w:rsidR="003B1A88" w:rsidRDefault="003B1A8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B88C" w14:textId="77777777" w:rsidR="003B1A88" w:rsidRDefault="00E246B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151EB">
      <w:rPr>
        <w:rStyle w:val="af"/>
        <w:noProof/>
      </w:rPr>
      <w:t>1</w:t>
    </w:r>
    <w:r>
      <w:rPr>
        <w:rStyle w:val="af"/>
      </w:rPr>
      <w:fldChar w:fldCharType="end"/>
    </w:r>
  </w:p>
  <w:p w14:paraId="43D3A1C2" w14:textId="77777777" w:rsidR="003B1A88" w:rsidRDefault="003B1A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A203" w14:textId="77777777" w:rsidR="00311F20" w:rsidRDefault="00311F20">
      <w:r>
        <w:separator/>
      </w:r>
    </w:p>
  </w:footnote>
  <w:footnote w:type="continuationSeparator" w:id="0">
    <w:p w14:paraId="257A6D6D" w14:textId="77777777" w:rsidR="00311F20" w:rsidRDefault="003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63C3" w14:textId="65C99890" w:rsidR="003B1A88" w:rsidRDefault="003B1A88">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2D73" w14:textId="5A41F085" w:rsidR="003B1A88" w:rsidRDefault="00E246B9">
    <w:pPr>
      <w:pStyle w:val="ab"/>
      <w:jc w:val="right"/>
    </w:pPr>
    <w:r>
      <w:rPr>
        <w:rFonts w:ascii="宋体" w:eastAsia="宋体" w:hAnsi="宋体" w:hint="eastAsia"/>
      </w:rPr>
      <w:t>董事会战略与投资委员会工作细则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427ED"/>
    <w:multiLevelType w:val="multilevel"/>
    <w:tmpl w:val="15D427ED"/>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8B22640"/>
    <w:multiLevelType w:val="multilevel"/>
    <w:tmpl w:val="18B2264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B54687"/>
    <w:multiLevelType w:val="multilevel"/>
    <w:tmpl w:val="1AB54687"/>
    <w:lvl w:ilvl="0">
      <w:start w:val="1"/>
      <w:numFmt w:val="chineseCountingThousand"/>
      <w:lvlText w:val="第%1条"/>
      <w:lvlJc w:val="left"/>
      <w:pPr>
        <w:ind w:left="420" w:hanging="420"/>
      </w:pPr>
      <w:rPr>
        <w:rFonts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A563BE"/>
    <w:multiLevelType w:val="multilevel"/>
    <w:tmpl w:val="25A563BE"/>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5E078D"/>
    <w:multiLevelType w:val="multilevel"/>
    <w:tmpl w:val="405E078D"/>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8A"/>
    <w:rsid w:val="00027C09"/>
    <w:rsid w:val="000349DA"/>
    <w:rsid w:val="00045318"/>
    <w:rsid w:val="000458CC"/>
    <w:rsid w:val="00053569"/>
    <w:rsid w:val="00067B8C"/>
    <w:rsid w:val="00082645"/>
    <w:rsid w:val="00090F6E"/>
    <w:rsid w:val="0009239C"/>
    <w:rsid w:val="0009593F"/>
    <w:rsid w:val="000A092F"/>
    <w:rsid w:val="000A2D5E"/>
    <w:rsid w:val="000D65B1"/>
    <w:rsid w:val="001071CA"/>
    <w:rsid w:val="00110721"/>
    <w:rsid w:val="0014159D"/>
    <w:rsid w:val="00142E56"/>
    <w:rsid w:val="00153A4A"/>
    <w:rsid w:val="00154AA4"/>
    <w:rsid w:val="0015538A"/>
    <w:rsid w:val="00191CAC"/>
    <w:rsid w:val="00193E2A"/>
    <w:rsid w:val="001A131B"/>
    <w:rsid w:val="001C3B54"/>
    <w:rsid w:val="001C7019"/>
    <w:rsid w:val="0020394F"/>
    <w:rsid w:val="00203A69"/>
    <w:rsid w:val="002048B0"/>
    <w:rsid w:val="0022407D"/>
    <w:rsid w:val="002251B1"/>
    <w:rsid w:val="002322BF"/>
    <w:rsid w:val="002570B2"/>
    <w:rsid w:val="00270589"/>
    <w:rsid w:val="00287987"/>
    <w:rsid w:val="002928FC"/>
    <w:rsid w:val="002A63D2"/>
    <w:rsid w:val="002B178E"/>
    <w:rsid w:val="002B7E40"/>
    <w:rsid w:val="002C2539"/>
    <w:rsid w:val="002F3310"/>
    <w:rsid w:val="00311F20"/>
    <w:rsid w:val="00336A5D"/>
    <w:rsid w:val="00367DEE"/>
    <w:rsid w:val="00385201"/>
    <w:rsid w:val="003B03FE"/>
    <w:rsid w:val="003B1A88"/>
    <w:rsid w:val="003B6393"/>
    <w:rsid w:val="003C69BB"/>
    <w:rsid w:val="003D3201"/>
    <w:rsid w:val="003E6958"/>
    <w:rsid w:val="00426367"/>
    <w:rsid w:val="00433CF2"/>
    <w:rsid w:val="00453832"/>
    <w:rsid w:val="004714A9"/>
    <w:rsid w:val="00483164"/>
    <w:rsid w:val="0048383E"/>
    <w:rsid w:val="00496AC9"/>
    <w:rsid w:val="004A3ED8"/>
    <w:rsid w:val="004B0C82"/>
    <w:rsid w:val="004B28F4"/>
    <w:rsid w:val="004B5394"/>
    <w:rsid w:val="004C6CF4"/>
    <w:rsid w:val="004F3960"/>
    <w:rsid w:val="00550DA1"/>
    <w:rsid w:val="00555FAA"/>
    <w:rsid w:val="00556F92"/>
    <w:rsid w:val="00571102"/>
    <w:rsid w:val="005865A9"/>
    <w:rsid w:val="005B6339"/>
    <w:rsid w:val="005D1CD4"/>
    <w:rsid w:val="005D7883"/>
    <w:rsid w:val="005E3A18"/>
    <w:rsid w:val="005F46B6"/>
    <w:rsid w:val="006000EA"/>
    <w:rsid w:val="006142D5"/>
    <w:rsid w:val="006225EA"/>
    <w:rsid w:val="00653225"/>
    <w:rsid w:val="006658C3"/>
    <w:rsid w:val="00667995"/>
    <w:rsid w:val="0067074F"/>
    <w:rsid w:val="00671EFE"/>
    <w:rsid w:val="00690DA8"/>
    <w:rsid w:val="006D688B"/>
    <w:rsid w:val="006F202D"/>
    <w:rsid w:val="0070001F"/>
    <w:rsid w:val="0070540B"/>
    <w:rsid w:val="00727C60"/>
    <w:rsid w:val="00744034"/>
    <w:rsid w:val="0074673D"/>
    <w:rsid w:val="0078491E"/>
    <w:rsid w:val="007A72E0"/>
    <w:rsid w:val="007B44F3"/>
    <w:rsid w:val="007B7810"/>
    <w:rsid w:val="007C6524"/>
    <w:rsid w:val="0081463F"/>
    <w:rsid w:val="008404B1"/>
    <w:rsid w:val="0086537B"/>
    <w:rsid w:val="008673C0"/>
    <w:rsid w:val="00883695"/>
    <w:rsid w:val="008A428B"/>
    <w:rsid w:val="008A4767"/>
    <w:rsid w:val="008D4D35"/>
    <w:rsid w:val="008E46F9"/>
    <w:rsid w:val="009156ED"/>
    <w:rsid w:val="00935C63"/>
    <w:rsid w:val="009606CB"/>
    <w:rsid w:val="00981A95"/>
    <w:rsid w:val="00982FD1"/>
    <w:rsid w:val="0099588E"/>
    <w:rsid w:val="009A4B7F"/>
    <w:rsid w:val="009B0435"/>
    <w:rsid w:val="009E6016"/>
    <w:rsid w:val="00A302FA"/>
    <w:rsid w:val="00A4475F"/>
    <w:rsid w:val="00A46679"/>
    <w:rsid w:val="00A47793"/>
    <w:rsid w:val="00A77F3F"/>
    <w:rsid w:val="00A901BE"/>
    <w:rsid w:val="00AA6D76"/>
    <w:rsid w:val="00AB6FEB"/>
    <w:rsid w:val="00AD400D"/>
    <w:rsid w:val="00B0495B"/>
    <w:rsid w:val="00B32EDB"/>
    <w:rsid w:val="00B67C34"/>
    <w:rsid w:val="00B82945"/>
    <w:rsid w:val="00BC2D5B"/>
    <w:rsid w:val="00BF3A39"/>
    <w:rsid w:val="00C026B2"/>
    <w:rsid w:val="00C64EBD"/>
    <w:rsid w:val="00C678F9"/>
    <w:rsid w:val="00CD0D16"/>
    <w:rsid w:val="00CF1535"/>
    <w:rsid w:val="00D54258"/>
    <w:rsid w:val="00D61951"/>
    <w:rsid w:val="00D66C06"/>
    <w:rsid w:val="00DA507C"/>
    <w:rsid w:val="00DB6D8D"/>
    <w:rsid w:val="00DE6233"/>
    <w:rsid w:val="00DF0F50"/>
    <w:rsid w:val="00E044F6"/>
    <w:rsid w:val="00E246B9"/>
    <w:rsid w:val="00E4774E"/>
    <w:rsid w:val="00E64B65"/>
    <w:rsid w:val="00E66985"/>
    <w:rsid w:val="00E861D9"/>
    <w:rsid w:val="00EB25B7"/>
    <w:rsid w:val="00EB5973"/>
    <w:rsid w:val="00EC19A4"/>
    <w:rsid w:val="00F04AA8"/>
    <w:rsid w:val="00F106EC"/>
    <w:rsid w:val="00F127EA"/>
    <w:rsid w:val="00F151EB"/>
    <w:rsid w:val="00F24335"/>
    <w:rsid w:val="00F6428A"/>
    <w:rsid w:val="00F72FD2"/>
    <w:rsid w:val="00F80444"/>
    <w:rsid w:val="00F81101"/>
    <w:rsid w:val="00FA5F71"/>
    <w:rsid w:val="00FC1F33"/>
    <w:rsid w:val="00FD6D73"/>
    <w:rsid w:val="462471E8"/>
    <w:rsid w:val="4C3244CD"/>
    <w:rsid w:val="7651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26CC0"/>
  <w15:docId w15:val="{254560C8-A0C7-4E49-A358-5D9F54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仿宋_GB2312" w:hAnsi="Arial"/>
      <w:kern w:val="2"/>
      <w:sz w:val="28"/>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semiHidden/>
    <w:qFormat/>
    <w:pPr>
      <w:jc w:val="left"/>
    </w:pPr>
  </w:style>
  <w:style w:type="paragraph" w:styleId="a6">
    <w:name w:val="Body Text"/>
    <w:basedOn w:val="a"/>
    <w:link w:val="a7"/>
    <w:uiPriority w:val="99"/>
    <w:qFormat/>
    <w:pPr>
      <w:spacing w:after="120"/>
    </w:pPr>
  </w:style>
  <w:style w:type="paragraph" w:styleId="a8">
    <w:name w:val="Balloon Text"/>
    <w:basedOn w:val="a"/>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d">
    <w:name w:val="annotation subject"/>
    <w:basedOn w:val="a4"/>
    <w:next w:val="a4"/>
    <w:link w:val="ae"/>
    <w:qFormat/>
    <w:rPr>
      <w:b/>
      <w:bCs/>
    </w:rPr>
  </w:style>
  <w:style w:type="character" w:styleId="af">
    <w:name w:val="page number"/>
    <w:basedOn w:val="a0"/>
    <w:qFormat/>
  </w:style>
  <w:style w:type="character" w:styleId="af0">
    <w:name w:val="Hyperlink"/>
    <w:uiPriority w:val="99"/>
    <w:unhideWhenUsed/>
    <w:qFormat/>
    <w:rPr>
      <w:color w:val="0563C1"/>
      <w:u w:val="single"/>
    </w:rPr>
  </w:style>
  <w:style w:type="character" w:styleId="af1">
    <w:name w:val="annotation reference"/>
    <w:semiHidden/>
    <w:qFormat/>
    <w:rPr>
      <w:sz w:val="21"/>
      <w:szCs w:val="21"/>
    </w:rPr>
  </w:style>
  <w:style w:type="paragraph" w:customStyle="1" w:styleId="af2">
    <w:name w:val="基准页眉样式"/>
    <w:basedOn w:val="a6"/>
    <w:qFormat/>
    <w:pPr>
      <w:keepLines/>
      <w:widowControl/>
      <w:tabs>
        <w:tab w:val="center" w:pos="-18551"/>
        <w:tab w:val="right" w:pos="4320"/>
      </w:tabs>
      <w:spacing w:after="0" w:line="240" w:lineRule="atLeast"/>
      <w:jc w:val="center"/>
    </w:pPr>
    <w:rPr>
      <w:rFonts w:ascii="Garamond" w:eastAsia="宋体" w:hAnsi="Garamond"/>
      <w:smallCaps/>
      <w:spacing w:val="15"/>
      <w:kern w:val="0"/>
      <w:sz w:val="21"/>
    </w:rPr>
  </w:style>
  <w:style w:type="paragraph" w:customStyle="1" w:styleId="11">
    <w:name w:val="样式 标题 1 + 居中"/>
    <w:basedOn w:val="1"/>
    <w:qFormat/>
    <w:pPr>
      <w:jc w:val="center"/>
    </w:pPr>
    <w:rPr>
      <w:rFonts w:ascii="Times New Roman" w:eastAsia="黑体" w:hAnsi="Times New Roman"/>
      <w:szCs w:val="20"/>
    </w:rPr>
  </w:style>
  <w:style w:type="paragraph" w:customStyle="1" w:styleId="text">
    <w:name w:val="text"/>
    <w:basedOn w:val="a"/>
    <w:qFormat/>
    <w:pPr>
      <w:widowControl/>
      <w:spacing w:before="100" w:beforeAutospacing="1" w:after="100" w:afterAutospacing="1"/>
      <w:jc w:val="left"/>
    </w:pPr>
    <w:rPr>
      <w:rFonts w:ascii="宋体" w:eastAsia="宋体" w:hAnsi="宋体"/>
      <w:kern w:val="0"/>
      <w:sz w:val="24"/>
    </w:rPr>
  </w:style>
  <w:style w:type="character" w:customStyle="1" w:styleId="a5">
    <w:name w:val="批注文字 字符"/>
    <w:link w:val="a4"/>
    <w:semiHidden/>
    <w:qFormat/>
    <w:rPr>
      <w:rFonts w:ascii="Arial" w:eastAsia="仿宋_GB2312" w:hAnsi="Arial"/>
      <w:kern w:val="2"/>
      <w:sz w:val="28"/>
      <w:szCs w:val="24"/>
    </w:rPr>
  </w:style>
  <w:style w:type="character" w:customStyle="1" w:styleId="ae">
    <w:name w:val="批注主题 字符"/>
    <w:basedOn w:val="a5"/>
    <w:link w:val="ad"/>
    <w:qFormat/>
    <w:rPr>
      <w:rFonts w:ascii="Arial" w:eastAsia="仿宋_GB2312" w:hAnsi="Arial"/>
      <w:kern w:val="2"/>
      <w:sz w:val="28"/>
      <w:szCs w:val="24"/>
    </w:rPr>
  </w:style>
  <w:style w:type="character" w:customStyle="1" w:styleId="ac">
    <w:name w:val="页眉 字符"/>
    <w:link w:val="ab"/>
    <w:qFormat/>
    <w:rPr>
      <w:rFonts w:ascii="Arial" w:eastAsia="仿宋_GB2312" w:hAnsi="Arial"/>
      <w:kern w:val="2"/>
      <w:sz w:val="18"/>
      <w:szCs w:val="18"/>
    </w:rPr>
  </w:style>
  <w:style w:type="character" w:customStyle="1" w:styleId="aa">
    <w:name w:val="页脚 字符"/>
    <w:link w:val="a9"/>
    <w:qFormat/>
    <w:rPr>
      <w:rFonts w:ascii="Arial" w:eastAsia="仿宋_GB2312" w:hAnsi="Arial"/>
      <w:kern w:val="2"/>
      <w:sz w:val="18"/>
      <w:szCs w:val="18"/>
    </w:rPr>
  </w:style>
  <w:style w:type="character" w:customStyle="1" w:styleId="10">
    <w:name w:val="标题 1 字符"/>
    <w:link w:val="1"/>
    <w:uiPriority w:val="9"/>
    <w:qFormat/>
    <w:rPr>
      <w:rFonts w:ascii="Arial" w:eastAsia="仿宋_GB2312" w:hAnsi="Arial"/>
      <w:b/>
      <w:bCs/>
      <w:kern w:val="44"/>
      <w:sz w:val="44"/>
      <w:szCs w:val="44"/>
    </w:rPr>
  </w:style>
  <w:style w:type="character" w:customStyle="1" w:styleId="a7">
    <w:name w:val="正文文本 字符"/>
    <w:link w:val="a6"/>
    <w:uiPriority w:val="99"/>
    <w:qFormat/>
    <w:rPr>
      <w:rFonts w:ascii="Arial" w:eastAsia="仿宋_GB2312" w:hAnsi="Arial"/>
      <w:kern w:val="2"/>
      <w:sz w:val="28"/>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D12A4E5-5829-4E23-B602-473C88A77E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704</Words>
  <Characters>4018</Characters>
  <Application>Microsoft Office Word</Application>
  <DocSecurity>0</DocSecurity>
  <Lines>33</Lines>
  <Paragraphs>9</Paragraphs>
  <ScaleCrop>false</ScaleCrop>
  <Company>新华联地产</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战略委员会工作细则</dc:title>
  <dc:creator>chelsea</dc:creator>
  <cp:lastModifiedBy>程 玉珊</cp:lastModifiedBy>
  <cp:revision>9</cp:revision>
  <cp:lastPrinted>2020-12-08T06:15:00Z</cp:lastPrinted>
  <dcterms:created xsi:type="dcterms:W3CDTF">2020-09-22T07:45:00Z</dcterms:created>
  <dcterms:modified xsi:type="dcterms:W3CDTF">2020-12-08T06:16:00Z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